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355 vom 19. Juli 2024</w:t>
      </w:r>
    </w:p>
    <w:p>
      <w:r>
        <w:t>BE Obergericht, 2024-07-19, DE</w:t>
      </w:r>
    </w:p>
    <w:p>
      <w:r>
        <w:rPr>
          <w:b/>
        </w:rPr>
        <w:t xml:space="preserve">Quelle: </w:t>
      </w:r>
      <w:r>
        <w:t>https://mcp.opencaselaw.ch/entscheid/be_zivilstraf_SK_2023_355</w:t>
      </w:r>
    </w:p>
    <w:p>
      <w:r>
        <w:t>FR: BE_ZIVILSTRAF SK 2023 355 du 19 juillet 2024</w:t>
      </w:r>
    </w:p>
    <w:p>
      <w:r>
        <w:t>IT: BE_ZIVILSTRAF SK 2023 355 del 19 luglio 2024</w:t>
      </w:r>
    </w:p>
    <w:p>
      <w:pPr>
        <w:pStyle w:val="Heading2"/>
      </w:pPr>
      <w:r>
        <w:t>Regeste</w:t>
      </w:r>
    </w:p>
    <w:p>
      <w:r>
        <w:t>versuchte vorsätzliche Tötung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 einer Freiheitsstrafe von 6.5 Jahren. Die Untersuchungs- und Sicherheitshaft von 538 Tagen (02.06.2021-21.11.2022) werden im Umfang von 538 Tagen auf die Freiheitsstrafe angerechnet und es wird festgestellt, dass die Strafe am 22.11.2022 vorzeitig angetreten worden ist. A.________ wird in eine Einrichtung für junge Erwachsene eingewiesen. Der Vollzug der Massnahme geht der Freiheitsstrafe voraus.</w:t>
      </w:r>
    </w:p>
    <w:p>
      <w:r>
        <w:rPr>
          <w:b/>
        </w:rPr>
        <w:t>E. 2</w:t>
      </w:r>
    </w:p>
    <w:p>
      <w:r>
        <w:t>Zu einer obligatorischen Landesverweisung von 7.5 Jahren.</w:t>
      </w:r>
    </w:p>
    <w:p>
      <w:r>
        <w:rPr>
          <w:b/>
        </w:rPr>
        <w:t>E. 3</w:t>
      </w:r>
    </w:p>
    <w:p>
      <w:r>
        <w:t>IV. Weiter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