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333 vom 22. November 2024</w:t>
      </w:r>
    </w:p>
    <w:p>
      <w:r>
        <w:t>BE Obergericht, 2024-11-22, DE</w:t>
      </w:r>
    </w:p>
    <w:p>
      <w:r>
        <w:rPr>
          <w:b/>
        </w:rPr>
        <w:t xml:space="preserve">Quelle: </w:t>
      </w:r>
      <w:r>
        <w:t>https://mcp.opencaselaw.ch/entscheid/be_zivilstraf_SK_2023_333</w:t>
      </w:r>
    </w:p>
    <w:p>
      <w:r>
        <w:t>FR: BE_ZIVILSTRAF SK 2023 333 du 22 novembre 2024</w:t>
      </w:r>
    </w:p>
    <w:p>
      <w:r>
        <w:t>IT: BE_ZIVILSTRAF SK 2023 333 del 22 novembre 2024</w:t>
      </w:r>
    </w:p>
    <w:p>
      <w:pPr>
        <w:pStyle w:val="Heading2"/>
      </w:pPr>
      <w:r>
        <w:t>Regeste</w:t>
      </w:r>
    </w:p>
    <w:p>
      <w:r>
        <w:t>Schändung, versuchte schwere Körperverletzung, einfache Körperverletzung, mehrfache Drohung etc. (Beschuldigter 1); Sexuelle Handlungen mit Kindern, sexuelle Nötigung und Widerhandlungen gegen das Betäubungsmittelgesetz (Beschuldigter 2) | Strafgesetz</w:t>
      </w:r>
    </w:p>
    <w:p>
      <w:pPr>
        <w:pStyle w:val="Heading2"/>
      </w:pPr>
      <w:r>
        <w:t>Erwägungen</w:t>
      </w:r>
    </w:p>
    <w:p>
      <w:r>
        <w:rPr>
          <w:b/>
        </w:rPr>
        <w:t>E. 1</w:t>
      </w:r>
    </w:p>
    <w:p>
      <w:r>
        <w:t>Erstinstanzliche Urteile</w:t>
      </w:r>
    </w:p>
    <w:p>
      <w:r>
        <w:rPr>
          <w:b/>
        </w:rPr>
        <w:t>E. 1.1</w:t>
      </w:r>
    </w:p>
    <w:p>
      <w:r>
        <w:t>Urteil PEN 21 390+391 Die Vorinstanz fällte am 22. Dezember 2022 folgendes Urteil (pag. 701 ff.; Hervor- hebungen im Original): A. A.________ I. Das Strafverfahren gegen A.________ wegen Konsumwiderhandlungen gegen das Betäubungsmittelgesetz, angeblich begangen am 16./17.02.2019 bis 22.12.2019 auf der K.________ (Ort) und in L.________ (Ortschaft) wird infolge Verjährung eingestellt, ohne Ausrichtung einer Entschädigung und ohne Ausscheidung von Verfahrenskosten.</w:t>
      </w:r>
    </w:p>
    <w:p>
      <w:r>
        <w:rPr>
          <w:b/>
        </w:rPr>
        <w:t>E. 4</w:t>
      </w:r>
    </w:p>
    <w:p>
      <w:r>
        <w:t>II. A.________ wird freigesprochen: 1. von der Anschuldigung der Schändung, angeblich begangen am 16.02.2019 auf dem Parkplatz auf der K.________(Ort), z.N. E.________; 2. von der Anschuldigung der Konsumwiderhandlungen gegen das Betäubungsmittelgesetz, angeblich begangen in der Zeit vom 23.12.2019 bis 08.11.2020 auf der K.________(Ort) und in L.________(Ortschaft) ohne Ausrichtung einer Entschädigung und ohne Ausscheidung von Verfahrenskosten. III. A.________ wird schuldig erklärt: der Schändung, begangen am 16./17.02.2019 in L.________(Ortschaft), M.________strasse, z.N. E.________ und in Anwendung der Art. 40, 47, 66a Abs. 1 lit. h, 191 StGB Art. 426 ff. StPO verurteilt: 1. Zu einer Freiheitsstrafe von 34 Monaten. 2. Zu einer Landesverweisung von 7 Jahren. Es wird die Ausschreibung der Landesverweisung (Einreise- und Aufenthaltsverweigerung) im Schengener Informationssystem (SIS) angeordnet. 3. Zu den auf ihn entfallenden Verfahrenskosten, sich zusammensetzend aus Gebühren von CHF 8'225.00 und Auslagen von CHF 713.50, insgesamt bestimmt auf CHF 8'938.50. [Zusammensetzung der Verfahrenskosten] IV. [amtliche Entschädigungen] V. A.________ wird in Anwendung von Art. 41 und 49 OR sowie Art. 126 und 432 ff. StPO weiter verur- 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