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157 vom 10. Juli 2024</w:t>
      </w:r>
    </w:p>
    <w:p>
      <w:r>
        <w:t>BE Obergericht, 2024-07-10, DE</w:t>
      </w:r>
    </w:p>
    <w:p>
      <w:r>
        <w:rPr>
          <w:b/>
        </w:rPr>
        <w:t xml:space="preserve">Quelle: </w:t>
      </w:r>
      <w:r>
        <w:t>https://mcp.opencaselaw.ch/entscheid/be_zivilstraf_SK_2023_157</w:t>
      </w:r>
    </w:p>
    <w:p>
      <w:r>
        <w:t>FR: BE_ZIVILSTRAF SK 2023 157 du 10 juillet 2024</w:t>
      </w:r>
    </w:p>
    <w:p>
      <w:r>
        <w:t>IT: BE_ZIVILSTRAF SK 2023 157 del 10 luglio 2024</w:t>
      </w:r>
    </w:p>
    <w:p>
      <w:pPr>
        <w:pStyle w:val="Heading2"/>
      </w:pPr>
      <w:r>
        <w:t>Regeste</w:t>
      </w:r>
    </w:p>
    <w:p>
      <w:r>
        <w:t>mehrfacher Betrug, Urkundenfälschungen, Geldwäscherei mehrfach, Diebstahl | Strafgesetz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F.________ AG Zivilklägerin Gegenstand mehrfacher Betrug, Urkundenfälschungen, Geldwäscherei mehr- fach, Diebstahl etc. Berufung gegen das Urteil des Regionalgerichts Bern-Mittelland (Einzelgericht) vom 8. Dezember 2022 (PEN 20 820)</w:t>
      </w:r>
    </w:p>
    <w:p>
      <w:r>
        <w:rPr>
          <w:b/>
        </w:rPr>
        <w:t>E. 3</w:t>
      </w:r>
    </w:p>
    <w:p>
      <w:r>
        <w:t>I. Formelles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