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67 vom 15. September 2023</w:t>
      </w:r>
    </w:p>
    <w:p>
      <w:r>
        <w:t>BE Obergericht, 2023-09-15, DE</w:t>
      </w:r>
    </w:p>
    <w:p>
      <w:r>
        <w:rPr>
          <w:b/>
        </w:rPr>
        <w:t xml:space="preserve">Quelle: </w:t>
      </w:r>
      <w:r>
        <w:t>https://mcp.opencaselaw.ch/entscheid/be_zivilstraf_SK_2022_67</w:t>
      </w:r>
    </w:p>
    <w:p>
      <w:r>
        <w:t>FR: BE_ZIVILSTRAF SK 2022 67 du 15 septembre 2023</w:t>
      </w:r>
    </w:p>
    <w:p>
      <w:r>
        <w:t>IT: BE_ZIVILSTRAF SK 2022 67 del 15 settembre 2023</w:t>
      </w:r>
    </w:p>
    <w:p>
      <w:pPr>
        <w:pStyle w:val="Heading2"/>
      </w:pPr>
      <w:r>
        <w:t>Regeste</w:t>
      </w:r>
    </w:p>
    <w:p>
      <w:r>
        <w:t>qualfizierte ungetreue Geschäftsbesorgung, mehrfach begangen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Kantonale Wirtschaftsstrafgericht (nachfolgend Vorinstanz) fällte gegen den Beschuldigten und Berufungsführer 1 A.________ (nachfolgend Beschuldigter) am</w:t>
      </w:r>
    </w:p>
    <w:p>
      <w:r>
        <w:rPr>
          <w:b/>
        </w:rPr>
        <w:t>E. 3</w:t>
      </w:r>
    </w:p>
    <w:p>
      <w:r>
        <w:t>September 2021 folgendes Urteil (pag. 18 572 ff.; Hervorhebungen im Original): «[…] I. Das Strafverfahren gegen A.________, vgt. wegen qualifizierter ungetreuer Geschäftsbesorgung, angeblich mehrfach begangen im Zeitraum von ca. Mai 2006 bis am 2. September 2006 in P.________(Ort) im Deliktsbetrag von total CHF 51'511.02 wird eingestellt ohne Ausscheidung von Verfahrenskosten und ohne Ausrichtung einer Entschädigung II. A.________, vgt., wird freigesprochen von der Anschuldigung der qualifizierten ungetreuen Geschäftsbesorgung, angeblich mehrfach begangen in P.________(Ort), im Deliktsbetrag von insgesamt CHF 189'973.80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