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2022 565 vom 11. August 2023</w:t>
      </w:r>
    </w:p>
    <w:p>
      <w:r>
        <w:t>BE Obergericht, 2023-08-11, DE</w:t>
      </w:r>
    </w:p>
    <w:p>
      <w:r>
        <w:rPr>
          <w:b/>
        </w:rPr>
        <w:t xml:space="preserve">Quelle: </w:t>
      </w:r>
      <w:r>
        <w:t>https://mcp.opencaselaw.ch/entscheid/be_zivilstraf_SK_2022_565</w:t>
      </w:r>
    </w:p>
    <w:p>
      <w:r>
        <w:t>FR: BE_ZIVILSTRAF SK 2022 565 du 11 août 2023</w:t>
      </w:r>
    </w:p>
    <w:p>
      <w:r>
        <w:t>IT: BE_ZIVILSTRAF SK 2022 565 del 11 agosto 2023</w:t>
      </w:r>
    </w:p>
    <w:p>
      <w:pPr>
        <w:pStyle w:val="Heading2"/>
      </w:pPr>
      <w:r>
        <w:t>Regeste</w:t>
      </w:r>
    </w:p>
    <w:p>
      <w:r>
        <w:t>Widerhandlungen gegen das Strassenverkehrsgesetz | Strassenverkehr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groben Verkehrsregelverletzung, begangen am 27.01.2021 in C.________ als Lenker eines Lieferwagens durch Nichtanpassen der Geschwindigkeit an die Strassenverhältnisse und dadurch Nichtbelassen des Vortritts gegenüber einer Passantin auf einem Fussgängerstreifen;</w:t>
      </w:r>
    </w:p>
    <w:p>
      <w:r>
        <w:rPr>
          <w:b/>
        </w:rPr>
        <w:t>E. 2</w:t>
      </w:r>
    </w:p>
    <w:p>
      <w:r>
        <w:t>der einfachen Verkehrsregelverletzung, begangen am 27.01.2021 in C.________ als Lenker eines Lieferwagens durch Nichttragen der Sicherheitsgurte; und in Anwendung der Art. 32 Abs. 1, 33 Abs. 2, 57 Abs. 5 lit. a, 90 Abs. 1 und Abs. 2, 100 Ziff. 1 SVG; Art. 3a Abs. 1, 4 Abs. 1, 6 Abs. 1 VRV; Art. 34, 42 Abs. 1 und Abs. 4, 44, 47, 106, 333 Abs. 1 StGB; Art. 422 ff. StPO;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