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553 vom 17. Oktober 2023</w:t>
      </w:r>
    </w:p>
    <w:p>
      <w:r>
        <w:t>BE Obergericht, 2023-10-17, DE</w:t>
      </w:r>
    </w:p>
    <w:p>
      <w:r>
        <w:rPr>
          <w:b/>
        </w:rPr>
        <w:t xml:space="preserve">Quelle: </w:t>
      </w:r>
      <w:r>
        <w:t>https://mcp.opencaselaw.ch/entscheid/be_zivilstraf_SK_2022_553</w:t>
      </w:r>
    </w:p>
    <w:p>
      <w:r>
        <w:t>FR: BE_ZIVILSTRAF SK 2022 553 du 17 octobre 2023</w:t>
      </w:r>
    </w:p>
    <w:p>
      <w:r>
        <w:t>IT: BE_ZIVILSTRAF SK 2022 553 del 17 ottobre 2023</w:t>
      </w:r>
    </w:p>
    <w:p>
      <w:pPr>
        <w:pStyle w:val="Heading2"/>
      </w:pPr>
      <w:r>
        <w:t>Regeste</w:t>
      </w:r>
    </w:p>
    <w:p>
      <w:r>
        <w:t>Störung des öffentlichen Verkehrs, einfache Körperverletzung, Gewalt und Drohung gegen Beamte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Emmental-Oberaargau (nachfolgend: Vorinstanz) erkannte am 23. Juni 2022 was folgt (pag. 808 ff.; Hervorhebungen im Original): I. Das Strafverfahren gegen A.________ wegen Tätlichkeiten, angeblich mehrfach begangen am 07.06.2019 um ca. 04:00 Uhr in E.________ z.N. F.________ und G.________; wird infolge Verjährung eingestellt, ohne Ausrichtung einer Entschädigung und ohne Ausscheidung von Verfahrenskosten. II. Es wird festgestellt, dass A.________ im Zustand der Schuldunfähigkeit (Art. 19 Abs. 1 StGB) fol- gende Tatbestände erfüllt hat: - Störung des öffentlichen Verkehrs (Art. 237 Abs. 1 Ziff. 1 StGB), begangen am 06.06.2019 um ca. 04:35 Uhr in H.________; - einfache Körperverletzung (Art. 123 Abs. 1 StGB), mehrfach begangen am 07.06.2019 um ca. 07:00 Uhr, im I.________, z.N. J.________ und K.________; - Gewalt und Drohung gegen Beamte (Art. 285 Abs. 1 Ziff. 1 StGB), begangen am 07.06.2019 in E.________ z.N. L.________; - Sachbeschädigung (Art. 144 Abs. 1 StGB), mehrfach begangen am 06.06.2019 um ca. 04:35 Uhr in H.________, z.N. M.________ und am 07.06.2019 in E.________ z.N. I.________. III. Über A.________ wird eine stationäre therapeutische Massnahme nach Art. 59 StGB angeordnet. IV. Die Verfahrenskosten, sich zusammensetzend aus Gebühren von CHF 9’300.00 und Auslagen (oh- ne Kosten für die amtliche Verteidigung) von CHF 17'828.60, insgesamt bestimmt auf CHF 27'128.60 werden dem Kanton Bern auferlegt (Art. 419 StPO). [Tabellarische Zusammensetzung der Verfahrenskosten] V. [Entschädigung der amtlichen Verteidigerin ohne Rück- und Nachzahlungspflichten zu Lasten des Beschuldigten] VI.</w:t>
      </w:r>
    </w:p>
    <w:p>
      <w:r>
        <w:rPr>
          <w:b/>
        </w:rPr>
        <w:t>E. 3</w:t>
      </w:r>
    </w:p>
    <w:p>
      <w:r>
        <w:t>Im Zivilpunkt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