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2022 457 vom 7. August 2023</w:t>
      </w:r>
    </w:p>
    <w:p>
      <w:r>
        <w:t>BE Obergericht, 2023-08-07, DE</w:t>
      </w:r>
    </w:p>
    <w:p>
      <w:r>
        <w:rPr>
          <w:b/>
        </w:rPr>
        <w:t xml:space="preserve">Quelle: </w:t>
      </w:r>
      <w:r>
        <w:t>https://mcp.opencaselaw.ch/entscheid/be_zivilstraf_SK_2022_457</w:t>
      </w:r>
    </w:p>
    <w:p>
      <w:r>
        <w:t>FR: BE_ZIVILSTRAF SK 2022 457 du 7 août 2023</w:t>
      </w:r>
    </w:p>
    <w:p>
      <w:r>
        <w:t>IT: BE_ZIVILSTRAF SK 2022 457 del 7 agosto 2023</w:t>
      </w:r>
    </w:p>
    <w:p>
      <w:pPr>
        <w:pStyle w:val="Heading2"/>
      </w:pPr>
      <w:r>
        <w:t>Regeste</w:t>
      </w:r>
    </w:p>
    <w:p>
      <w:r>
        <w:t>Widerhandlungen gegen das Strassenverkehrsgesetz und gegen das Ausländergesetz sowie Widerrufsverfahren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wegen unrechtmässigem Bezug von Leistungen der Sozialhilfe, angeblich begangen am 01.06.2018 bis 31.12.2018 in C.________;</w:t>
      </w:r>
    </w:p>
    <w:p>
      <w:r>
        <w:rPr>
          <w:b/>
        </w:rPr>
        <w:t>E. 2</w:t>
      </w:r>
    </w:p>
    <w:p>
      <w:r>
        <w:t>wegen Widerhandlung gegen das Strassenverkehrsgesetz durch Führen eines Personen- wagens ohne Berechtigung, angeblich mehrfach begangen in der Zeit zwischen 01.06.2010 bis 23.03.2012 in C.________ und Umgebung;</w:t>
      </w:r>
    </w:p>
    <w:p>
      <w:r>
        <w:rPr>
          <w:b/>
        </w:rPr>
        <w:t>E. 3</w:t>
      </w:r>
    </w:p>
    <w:p>
      <w:r>
        <w:t>Wird keine schriftliche Begründung verlangt, reduziert sich die Gebühr um CHF 1'000.00. Die reduzierten Verfahrenskosten betragen damit CHF 4'050.00 (exkl. Kosten für die amtliche Ver- teidigung, vgl. Ziff. IV. hiernach).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