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413 vom 30. Oktober 2023</w:t>
      </w:r>
    </w:p>
    <w:p>
      <w:r>
        <w:t>BE Obergericht, 2023-10-30, DE</w:t>
      </w:r>
    </w:p>
    <w:p>
      <w:r>
        <w:rPr>
          <w:b/>
        </w:rPr>
        <w:t xml:space="preserve">Quelle: </w:t>
      </w:r>
      <w:r>
        <w:t>https://mcp.opencaselaw.ch/entscheid/be_zivilstraf_SK_2022_413</w:t>
      </w:r>
    </w:p>
    <w:p>
      <w:r>
        <w:t>FR: BE_ZIVILSTRAF SK 2022 413 du 30 octobre 2023</w:t>
      </w:r>
    </w:p>
    <w:p>
      <w:r>
        <w:t>IT: BE_ZIVILSTRAF SK 2022 413 del 30 ottobre 2023</w:t>
      </w:r>
    </w:p>
    <w:p>
      <w:pPr>
        <w:pStyle w:val="Heading2"/>
      </w:pPr>
      <w:r>
        <w:t>Regeste</w:t>
      </w:r>
    </w:p>
    <w:p>
      <w:r>
        <w:t>qualifizierte ungetreue Geschäftsbesorgung und Gehilfenschaft dazu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Vorbemerkung zur Bezeichnung einzelner involvierter juristischen Personen und zu den Akten Die nachfolgenden Erwägungen behandeln Sachverhalte und Gerichtsurteile, in welche die I.________ AG involviert ist. Die I.________ AG wurde mit SHAB- Publikation vom 12. Juni 2020 in J.________ AG umfirmiert. Zur Wahrung der Stringenz im Hinblick auf die diversen, in dieser Angelegenheit ergangenen Ge- richtsurteile sowie zur Vermeidung von Verwechslungen mit der Straf- und Zivilklä- gerin E.________ AG wird nachfolgend die veraltete Firma I.________ AG ver- wendet, wie es auch das Kantonale Wirtschaftsstrafgericht handhabte. Wo erfor- derlich, werden beide Firmen genannt. Einzig im Urteilsdispositiv wird zur Klarheit der gerichtlichen Anordnungen die aktuelle Firma J.________ AG verwendet (vgl. Ziff. V.2. des Urteilsdispositivs). Involviert ist ferner die K.________ SA, die mit SHAB-Publikation vom 24. Oktober 2017 in L.________ AG umfirmiert wurde. Nachfolgend wird die veraltete Firma K.________ SA verwendet. Die E.________ AG wird mit dieser Firma und/oder mit ihrer Parteistellung als Straf- und Zivilklägerin bezeichnet. Wo aus amtlichen Akten anderer Verfahren zitiert wird, wird der Fundstelle die je- weilige Verfahrensnummer vorangestellt. Fundstellennachweise ohne einen Hin- weis auf eine Verfahrensnummer beziehen sich auf die amtlichen Akten des vorlie- genden Verfahrens.</w:t>
      </w:r>
    </w:p>
    <w:p>
      <w:r>
        <w:rPr>
          <w:b/>
        </w:rPr>
        <w:t>E. 2</w:t>
      </w:r>
    </w:p>
    <w:p>
      <w:r>
        <w:t>Erstinstanzliches Urteil Das Kantonale Wirtschaftsstrafgericht (Einzelgericht; nachfolgend Vorinstanz oder WSG) fällte betreffend A.________ und C.________ am 6. April 2022 das folgende Urteil (pag. 22 569): I. A.________, vgt., wird schuldig erklärt: der qualifizierten ungetreuen Geschäftsbesorgung, versucht begangen vom 24.06.2008 bis am 24.06.2009 in M.________ bzw. N.________ zum Nachteil der E.________ AG im Deliktsbetrag von CHF 1'300'000.00 (Ziff. I.A. der Anklageschrift), und sie wird in Anwendung der Art. 22 Abs. 1, 34, 42 Abs. 1, 44, 47 und 48 lit. e aStGB sowie 158 Ziff. 1 Abs. 1 und Abs. 3 StGB Art. 418, 422 und 426 Abs. 1 StPO verurteilt: 1. Zu einer Geldstrafe von 180 Tagessätzen zu CHF 500.00, ausmachend total CHF 90'000.00. Der Vollzug der Geldstrafe wird aufgeschoben und die Probezeit auf 2 Jahre festgesetzt.</w:t>
      </w:r>
    </w:p>
    <w:p>
      <w:r>
        <w:rPr>
          <w:b/>
        </w:rPr>
        <w:t>E. 4</w:t>
      </w:r>
    </w:p>
    <w:p>
      <w:r>
        <w:t>2. Zur Bezahlung der auf sie entfallenden Verfahrenskosten in der Höhe von insgesamt CHF 12'000.00, bestehend aus: [Kostentabelle] unter solidarischer Haftbarkeit für die Gesamtkosten von CHF 21'500.00 (Art. 418 Abs. 2 i.V.m. Art. 50 OR). Wird keine schriftliche Urteilsbegründung verlangt, reduziert sich die Gebühr um insgesamt CHF 1'000.00, ausmachend anteilsmässig zugunsten von A.________, vgt., CHF 666.65. Die reduzierten Verfahrenskosten betragen somit CHF 11'333.35. II. C.________, vgt., wird schuldig erklärt: der Gehilfenschaft zu versuchter qualifizierter ungetreuer Geschäftsbesorgung, begangen am 24.06.2008 in M.________ zum Nachteil der E.________ AG im Deliktsbetrag von CHF 1'300'000.00 (Ziff. I.B. der Anklageschrift), und er wird in Anwendung der Art. 22 Abs. 1, 25, 34, 42 Abs. 1, 44, 47, 48 lit. e und 49 Abs. 2 aStGB sowie 158 Ziff. 1 Abs. 1 und Abs. 3 StGB Art. 418, 422 und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