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397 vom 16. März 2022</w:t>
      </w:r>
    </w:p>
    <w:p>
      <w:r>
        <w:t>BE Obergericht, 2022-03-16, DE</w:t>
      </w:r>
    </w:p>
    <w:p>
      <w:r>
        <w:rPr>
          <w:b/>
        </w:rPr>
        <w:t xml:space="preserve">Quelle: </w:t>
      </w:r>
      <w:r>
        <w:t>https://mcp.opencaselaw.ch/entscheid/be_zivilstraf_SK_2022_397</w:t>
      </w:r>
    </w:p>
    <w:p>
      <w:r>
        <w:t>FR: BE_ZIVILSTRAF SK 2022 397 du 16 mars 2022</w:t>
      </w:r>
    </w:p>
    <w:p>
      <w:r>
        <w:t>IT: BE_ZIVILSTRAF SK 2022 397 del 16 marzo 2022</w:t>
      </w:r>
    </w:p>
    <w:p>
      <w:pPr>
        <w:pStyle w:val="Heading2"/>
      </w:pPr>
      <w:r>
        <w:t>Regeste</w:t>
      </w:r>
    </w:p>
    <w:p>
      <w:r>
        <w:t>20220902_074524_ANOM.docx | Strassenverkehr</w:t>
      </w:r>
    </w:p>
    <w:p>
      <w:pPr>
        <w:pStyle w:val="Heading2"/>
      </w:pPr>
      <w:r>
        <w:t>Erwägungen</w:t>
      </w:r>
    </w:p>
    <w:p>
      <w:r>
        <w:rPr>
          <w:b/>
        </w:rPr>
        <w:t>E. 1</w:t>
      </w:r>
    </w:p>
    <w:p>
      <w:r>
        <w:t>Erstinstanzliches Urteil Mit Urteil vom 16. März 2022 wurde A.________ (nachfolgend Beschuldigter) vom Regionalgericht Oberland von der Anschuldigung der einfachen Verletzung der Verkehrsregeln, angeblich begangen am 15. Oktober 2021 auf der A6 Süd Rich- tung Verbindungsschenkel Steffisburg, Kreisverkehrsplatz C.________, freigespro- chen, unter Ausrichtung einer Entschädigung von CHF 3'651.00 für die angemes- sene Ausübung seiner Verfahrensrechte und Auferlegung der Verfahrenskosten von insgesamt CHF 1'370.00 an den Kanton Bern (pag. 61 ff.).</w:t>
      </w:r>
    </w:p>
    <w:p>
      <w:r>
        <w:rPr>
          <w:b/>
        </w:rPr>
        <w:t>E. 2</w:t>
      </w:r>
    </w:p>
    <w:p>
      <w:r>
        <w:t>Berufung Mit Schreiben vom 25. März 2022 meldete die Staatsanwaltschaft, Region Ober- land, form- und fristgereicht die Berufung an (pag. 66). Die erstinstanzliche Urteils- begründung datiert vom 20. Juni 2022 (pag. 75 ff.) und wurde den Parteien glei- chentags mit Verfügung zugestellt (pag. 86 f.). Die Berufungserklärung, datiert auf den 30. Juni 2022, ging form- und fristgerecht beim Obergericht des Kantons Bern ein. Die Generalstaatsanwaltschaft focht das Urteil vollumfänglich an (pag. 90 f.). Der Beschuldigte hat weder Anschlussberufung erklärt noch ein Nichteintreten auf die Berufung beantragt (pag. 102 f.).</w:t>
      </w:r>
    </w:p>
    <w:p>
      <w:r>
        <w:rPr>
          <w:b/>
        </w:rPr>
        <w:t>E. 3</w:t>
      </w:r>
    </w:p>
    <w:p>
      <w:r>
        <w:t>Schriftliches Verfahren Mit Schreiben vom 7. Juli 2022 ersuchte der Beschuldigte um Durchführung eines mündlichen Verfahrens (pag. 102 f.). Mit Beschluss vom 11. Juli 2022 wurde gestützt auf Art. 406 Abs. 1 Bst. c der Schweizerischen Strafprozessordnung (StPO; SR 312.0) das schriftliche Verfahren angeordnet und der Generalstaatsanwaltschaft eine Frist zur Einreichung der schriftlichen Berufungsbegründung angesetzt (pag. 105 ff.). Mit Eingabe vom</w:t>
      </w:r>
    </w:p>
    <w:p>
      <w:r>
        <w:rPr>
          <w:b/>
        </w:rPr>
        <w:t>E. 4</w:t>
      </w:r>
    </w:p>
    <w:p>
      <w:r>
        <w:t>August 2022 folgende Anträge (pag. 111; Hervorhebungen im Original):</w:t>
      </w:r>
    </w:p>
    <w:p>
      <w:r>
        <w:t>3 1. A.________ sei schuldig zu erklären der einfachen Verletzung der Verkehrsregeln, began- gen am 15. Oktober 2021 auf der A6 Süd Richtung Verbindungsschenkel Steffisburg, Kreisver- kehrsplatz C.________, durch Nichtbelassen des Vortritts bei Einfahrt in den Kreisverkehrsplatz; 2. A.________ sei zu verurteilen zu einer Übertretungsbusse von CHF 300.00, wobei die ersatz- weise Freiheitsstrafe bei schuldhaftem Nichtbezahlen auf 3 Tage festzusetzen sei, sowie zur Bezahlung der erst- und oberinstanzlichen Verfahrenskosten. Der Beschuldigte stellte im Rahmen seiner Eingabe vom 7. Juli 2022 u.a. folgende Anträge (pag. 102; zum Antrag auf ein mündliches Verfahren, vgl. Ziff. 3. hiervor): 1. Die Berufung sei abzuweisen und der obig erwähnte Entscheid (Freispruch) sei zu bestätigen; 2. Die Verfahrenskosten seien auf die Staatskasse zu nehmen und dem Beschuldigten sei eine Parteientschädigung für das Untersuchungsverfahren sowie das erst- und oberinstanzliche Ver- fahren auszurichten;</w:t>
      </w:r>
    </w:p>
    <w:p>
      <w:r>
        <w:rPr>
          <w:b/>
        </w:rPr>
        <w:t>E. 5</w:t>
      </w:r>
    </w:p>
    <w:p>
      <w:r>
        <w:t>Verfahrensgegenstand und Kognition der Kammer Die Generalstaatsanwaltschaft hat das erstinstanzliche Urteil vollumfänglich ange- fochten. Die Kammer hat somit das gesamte Urteil zu prüfen. Gegenstand des erst- instanzlichen Verfahrens bildete ausschliesslich eine Übertretung. Die Kammer ver- fügt daher über eine eingeschränkte Kognition und überprüft das erstinstanzliche Urteil nur auf Rechtsfehler und auf offensichtlich unrichtige bzw. auf Rechtsfehlern beruhende Feststellung des Sachverhalts. Neue Behauptungen und Beweise kön- nen nicht vorgebracht werden (Art. 398 Abs. 4 StPO). II. Verwertbarkeit der Beweismittel</w:t>
      </w:r>
    </w:p>
    <w:p>
      <w:r>
        <w:rPr>
          <w:b/>
        </w:rPr>
        <w:t>E. 6</w:t>
      </w:r>
    </w:p>
    <w:p>
      <w:r>
        <w:t>Ausgangslage Die Polizei hat den Beschuldigten anhand einer Fotografie einer am Unfall nicht be- teiligten Drittperson ausfindig gemacht, welche Teil ihrer Fotodokumentation zur Anzeige bildet. Die Vorinstanz hat sich in ihrem Urteil mit der Frage auseinander- gesetzt, ob diese Fotografie im Verfahren gegen den Beschuldigten verwertet wer- den darf und hat diese Frage verneint (S. 5 der erstinstanzlichen Urteilsbegrün- dung, pag. 79): […] Die Fotoaufnahme der unbekannten Drittperson enthält das Autokennzeichen des Beschuldigten und erfolgte damit in Missachtung von Art. 4 Abs. 4 DSG und damit grundsätzlich rechtswidrig. Eine Ein- willigung liegt nicht vor. Die Anklage resp. der Strafbefehl geht von einer einfachen Verkehrsregelver- letzung i.S.v. Art. 90 Abs. 1 SVG aus. Dabei handelt es sich um eine Übertretung, die nach der Rechtsprechung nicht als schwere Straftat im Sinne von Art. 141 Abs. 2 StPO zu qualifizieren ist. Die- ser Massstab ist auch bei der Verwertung privat erhobener Beweise anzuwenden, was dazu führt, dass die Interessenabwägung zuungunsten der Verwertung ausfällt (BGE 146 IV 226, E.4, m.w.H.). Damit kann offenbleiben, ob das besagte Foto rechtmässig durch die Strafverfolgungsbehörden hätte erlangt werden können. Zusammenfassend ist festzuhalten, dass das von einer unbekannten Dritt- person erstellte Foto (pag. 20) gestützt auf Art. 141 Abs. 2 StPO nicht verwertbar ist.</w:t>
      </w:r>
    </w:p>
    <w:p>
      <w:r>
        <w:t>4 Infolgedessen erachtete die Vorinstanz gestützt auf Art. 141 Abs. 4 StPO auch die auf der Fotografie beruhenden Sekundärbeweise als nicht verwertbar (S. 7 der erstinstanzlichen Urteilsbegründung, pag. 81): […] Gestützt auf Art. 141 Abs. 4 StPO sind damit auch auf dem Foto beruhende Sekundärbeweise wie insbesondere die Aussagen des Beschuldigten nicht verwertbar. Ohne das Foto resp. das darauf ersichtliche Autokennzeichen hätte der Beschuldigte nicht ausfindig gemacht und zur Sache befragt werden können. Entsprechend sind die Aussagen des Beschuldigten nicht verwertbar. Die Unver- wertbarkeit betrifft aber auch die Aussagen von D.________, soweit sie sich auf das besagte Foto be- ziehen.</w:t>
      </w:r>
    </w:p>
    <w:p>
      <w:r>
        <w:rPr>
          <w:b/>
        </w:rPr>
        <w:t>E. 7</w:t>
      </w:r>
    </w:p>
    <w:p>
      <w:r>
        <w:t>Oberinstanzliche Vorbringen der Parteien</w:t>
      </w:r>
    </w:p>
    <w:p>
      <w:r>
        <w:rPr>
          <w:b/>
        </w:rPr>
        <w:t>E. 7.1</w:t>
      </w:r>
    </w:p>
    <w:p>
      <w:r>
        <w:t>Generalstaatsanwaltschaft Von Seiten der Generalstaatsanwaltschaft wurde diesbezüglich kurz zusammenge- fasst und im Wesentlichen vorgebracht, dass es sich beim Erstellen einer Aufnah- me eines Autokennzeichens um eine Datenbearbeitung im Sinne von Art. 3 Bst. a und e des Bundesgesetzes über den Datenschutz (DSG; SR 235.1) handle und durch die heimliche Aufnahme gemäss Art. 4 DSG das Transparenzgebot verletzt worden sei, womit eine nicht strafbewehrte Persönlichkeitsverletzung vorliege (Art.</w:t>
      </w:r>
    </w:p>
    <w:p>
      <w:r>
        <w:rPr>
          <w:b/>
        </w:rPr>
        <w:t>E. 7.2</w:t>
      </w:r>
    </w:p>
    <w:p>
      <w:r>
        <w:t>Verteidigung Von Seiten der Verteidigung wurde kurz zusammengefasst und im Wesentlichen entgegnet, dass bei privaten Aufnahmen im öffentlichen Strassenverkehr grundsätzlich von einer widerrechtlichen Datenbeschaffung ausgegangen werden müsse. Auch gemäss dem von der Generalstaatsanwaltschaft zitierten Bundesge- richtsentscheid BGE 147 IV 16 sei eine Interessenabwägung erforderlich. Festzu- halten sei ferner, dass das Foto der unbekannt gebliebenen Drittperson mit an Si- cherheit grenzender Wahrscheinlichkeit vom Fahrzeuglenker selber während der Fahrt aufgenommen worden sei und mit an Sicherheit grenzender Wahrscheinlich- keit aus einer Straftat herrühre. Das Bundesgericht verlange sodann, dass eine rechtswidrig erlangte Aufnahme nur dann verwertbar sei, wenn sie von den Straf- verfolgungsbehörden hätte erlangt werden können und kumulativ dazu eine Inter- essenabwägung für die Verwertung spreche. Eine Verwertung sei nur zur Auf- klärung schwerer Straftaten denkbar. Bei der einfachen Verkehrsregelverletzung</w:t>
      </w:r>
    </w:p>
    <w:p>
      <w:r>
        <w:t>5 handle es sich um eine Übertretung und entsprechend offensichtlich nicht um eine schwere Straftat im Sinne von Art. 141 Abs. 2 StPO. Vorliegend handle es sich um eine sehr «leichte» Übertretung, womit bei weitem kein öffentliches Interesse für eine Verwertbarkeit des Fotos spreche. Ein Interesse des Geschädigten, welcher keinen Strafantrag gestellt habe, sei nicht ansatzweise ersichtlich. Es liege also weder ein privates noch ein öffentliches Interesse vor und das besagte Foto sei nicht verwertbar. Daraus ergebe sich, dass sämtliche Folgebeweise ebenfalls nicht verwertbar seien (pag. 120 ff.). 8. Allgemeine Ausführungen Gemäss Art. 141 Abs. 1 StPO dürfen Beweise, welche von den Strafbehörden in strafbarer Weise oder unter Verletzung von Gültigkeitsvorschriften erhoben worden sind, nicht verwertet werden, es sei denn, ihre Verwertung sei zur Aufklärung schwerer Straftaten unerlässlich (Art. 141 Abs. 2 StPO). Hat ein Beweis, der nach Art. 141 Abs. 2 StPO nicht verwertet werden darf, die Erhebung eines weiteren Beweises ermöglicht, ist dieser gemäss Art. 141 Abs. 4 StPO ebenfalls nicht ver- wertbar, wenn er ohne die vorhergehende Beweiserhebung nicht möglich gewesen wäre. Von Privaten rechtswidrig erlangte Beweismittel sind nach der Rechtspre- chung nur verwertbar, wenn sie von den Strafverfolgungsbehörden rechtmässig hätten erlangt werden können und zudem eine Interessenabwägung für deren Verwertung spricht. Bei dieser Interessenabwägung sind dieselben Massstäbe an- zulegen wie bei staatlich erhobenen Beweisen. Je schwerer die zu beurteilende Straftat ist, umso eher überwiegt das öffentliche Interesse an der Wahrheitsfindung das private Interesse der beschuldigten Person daran, dass der fragliche Beweis unverwertet bleibt. Die Verwertung ist damit nur zulässig, wenn dies zur Aufklärung schwerer Straftaten unerlässlich ist (vgl. beispielhaft BGE 147 IV 9 E. 1.3.1; BGE 146 IV 226 E. 2; Urteil des Bundesgerichts [BGer] 6B_1404/2019 vom 17. August 2020 E. 1.3.1). Das Erstellen von Aufnahmen im öffentlichen Raum, auf welchen Personen oder Autokennzeichen erkennbar sind, stellt ein Bearbeiten von Personendaten im Sin- ne von Art. 3 Bst. a und Bst. e DSG dar (vgl. BGE 146 IV 226 E. 3.1; Urteil des BGer 6B_1404/2019 vom 17. August 2020 E. 1.4). Gemäss Art. 4 Abs. 4 DSG muss die Beschaffung von Personendaten und insbesondere der Zweck ihrer Be- arbeitung für die betroffene Person erkennbar sein. Die Missachtung dieses Grundsatzes stellt eine Persönlichkeitsverletzung dar (Art. 12 Abs. 2 Bst. a DSG). Gemäss Art. 13 Abs. 1 DSG ist eine Verletzung der Persönlichkeit dann widerrecht- lich, wenn kein Rechtfertigungsgrund – namentlich die Einwilligung des Verletzten, ein überwiegendes privates oder öffentliches Interesse oder eine gesetzliche Grundlage – vorliegt (vgl. BGE 147 IV 16 E. 2.2; Urteil des BGer 6B_1404/2019 vom 17. August 2020 E. 1.3.2). Als private Interessen können – nebst den Interes- sen der bearbeitenden Person – auch die Interessen von Drittpersonen berücksich- tigt werden (RAMPINI, in: Basler Kommentar Datenschutzge- setz/Öffentlichkeitsgesetz, 3. Aufl. 2014, N 21 zu Art. 13 DSG mit Verweis auf BGE 129 V 323 und BGE 138 II 346; WERMELINGER, in: Handkommentar Datenschutz- gesetz, 2015, N 11 zu Art. 13). Die privatrechtlichen Rechtfertigungsgründe von Art. 13 Abs. 1 DSG werden gemäss neuerer bundesgerichtlicher Rechtsprechung</w:t>
      </w:r>
    </w:p>
    <w:p>
      <w:r>
        <w:t>6 auch bei der Beurteilung der strafprozessualen Rechtswidrigkeit akzeptiert (RE- BER/DI GALLO, Verwertung von durch Privatpersonen rechtswidrig erlangten Be- weismitteln, in: ZStrR 139/2021 S. 467 f. u.a. mit Verweis auf das Urteil des BGer 6B_1282/2019 vom 13. November 2020 E. 5, nunmehr publiziert: BGE 147 IV 16 E. 5). Ist also ein Beweismittel von einer Privatperson unter Missachtung der im Daten- schutzgesetz verankerten Grundsätze erhoben worden, muss in einem ersten Schritt geprüft werden, ob Rechtfertigungsgründe nach Art. 13 DSG vorliegen. Kann die Widerrechtlichkeit der Persönlichkeitsverletzung durch einen Rechtferti- gungsgrund beseitigt werden, ist das Beweismittel uneingeschränkt verwertbar. Ist das Beweismittel hingegen als rechtswidrig einzustufen, sind in einem zweiten Schritt die im Strafprozess massgebenden Voraussetzungen der Verwertbarkeit im Sinne von Art. 141 Abs. 2 StPO zu prüfen (BGE 147 IV 16 E. 5; Beschluss der Be- schwerdekammer in Strafsachen des Obergerichts des Kantons Bern SK 21 241 vom 9. September 2021 E. 5.5; vgl. auch Urteil des Obergerichts Zürich SB200395 vom 26. Oktober 2021 E. 2.4.4; MAURER, in: StGB/JStG Kommentar, 21. Aufl. 2022, N 20a zu Art. 90 SVG). 9. Erwägungen der Kammer Die Vorinstanz hat in ihrer schriftlichen Urteilsbegründung zutreffend erwogen, dass das Erstellen einer Aufnahme eines Autokennzeichens im öffentlichen Raum eine Bearbeitung von Personendaten im Sinne von Art. 3 Bst. a und e DSG dar- stellt und infolgedessen das Datenschutzgesetz und die darin aufgestellten Grundsätze und Voraussetzungen der Datenbearbeitung zu beachten sind (vgl. BGE 146 IV 226 E. 3.1; BGE 138 II 346 E. 6.5; Urteil des BGer 6B_1404/2019 vom</w:t>
      </w:r>
    </w:p>
    <w:p>
      <w:r>
        <w:rPr>
          <w:b/>
        </w:rPr>
        <w:t>E. 12</w:t>
      </w:r>
    </w:p>
    <w:p>
      <w:r>
        <w:t>Abs. 2 Bst. a DSG). Die Vorinstanz habe einzig die Einwilligung als Rechtferti- gungsgrund überprüft und dabei übersehen, dass die Beweissicherung ein legiti- mes privates Interesse nach DSG darstelle. Das Fotografieren eines Autokennzei- chens stelle weiter einen geringen Eingriff in das Recht des Beschuldigten auf Ach- tung seiner Privatsphäre dar, sei der Beschuldigte doch darauf nicht erkennbar und sei zur eigentlichen Identifikation auch noch ein weiterer Schritt erforderlich. Zu berücksichtigen sei auch, dass es sich nur um eine einzelne Fotografie handle, welche nach einem Verkehrsunfall und somit aus begründetem Anlass erstellt wor- den sei. Wiege man die entgegenstehenden Interessen gegeneinander ab, werde deutlich, dass vorliegend das (vorweg private) Interesse an der Aufklärung des Un- falls überwiege. Damit liege ein Rechtfertigungsgrund nach Art. 13 DSG vor und die Fotografie sei uneingeschränkt verwertbar, womit sich eine Prüfung der straf- prozessualen Verwertbarkeitsvoraussetzungen erübrige (pag. 112 f.).</w:t>
      </w:r>
    </w:p>
    <w:p>
      <w:r>
        <w:rPr>
          <w:b/>
        </w:rPr>
        <w:t>E. 17</w:t>
      </w:r>
    </w:p>
    <w:p>
      <w:r>
        <w:t>Juni 2005 über das Bundesgericht (Bundesgerichtsgesetz, BGG; SR 173.110) – innert 30 Tagen seit Zu- stellung der schriftlichen Begründung beim Bundesgericht, Av. du Tribunal fédéral 29, 1000 Lausanne 14, Beschwerde in Strafsachen gemäss Art. 39 ff., 78 ff. und 90 ff. BGG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