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347 vom 14. April 2023</w:t>
      </w:r>
    </w:p>
    <w:p>
      <w:r>
        <w:t>BE Obergericht, 2023-04-14, DE</w:t>
      </w:r>
    </w:p>
    <w:p>
      <w:r>
        <w:rPr>
          <w:b/>
        </w:rPr>
        <w:t xml:space="preserve">Quelle: </w:t>
      </w:r>
      <w:r>
        <w:t>https://mcp.opencaselaw.ch/entscheid/be_zivilstraf_SK_2022_347</w:t>
      </w:r>
    </w:p>
    <w:p>
      <w:r>
        <w:t>FR: BE_ZIVILSTRAF SK 2022 347 du 14 avril 2023</w:t>
      </w:r>
    </w:p>
    <w:p>
      <w:r>
        <w:t>IT: BE_ZIVILSTRAF SK 2022 347 del 14 aprile 2023</w:t>
      </w:r>
    </w:p>
    <w:p>
      <w:pPr>
        <w:pStyle w:val="Heading2"/>
      </w:pPr>
      <w:r>
        <w:t>Regeste</w:t>
      </w:r>
    </w:p>
    <w:p>
      <w:r>
        <w:t>Pfändungsbetrug, mehrfach | Strafgesetz</w:t>
      </w:r>
    </w:p>
    <w:p>
      <w:pPr>
        <w:pStyle w:val="Heading2"/>
      </w:pPr>
      <w:r>
        <w:t>Erwägungen</w:t>
      </w:r>
    </w:p>
    <w:p>
      <w:r>
        <w:rPr>
          <w:b/>
        </w:rPr>
        <w:t>E. 1</w:t>
      </w:r>
    </w:p>
    <w:p>
      <w:r>
        <w:t>vom 20.08.2010 bis am 29.05.2012 (Ziff. 1.1 der Anklageschrift);</w:t>
      </w:r>
    </w:p>
    <w:p>
      <w:r>
        <w:rPr>
          <w:b/>
        </w:rPr>
        <w:t>E. 2</w:t>
      </w:r>
    </w:p>
    <w:p>
      <w:r>
        <w:t>Zur Bezahlung der Verfahrenskosten, bestehend aus: den Kosten der Voruntersuchung (Gebühr) CHF 10'851.00 den Kosten der Hauptverhandlung (inkl. schriftlicher Begründung) CHF 2'000.00 den Kosten der Staatsanwaltschaft für das Führen der Anklage CHF 1'000.000 Total ausmachend CHF 13'851.00 Wird keine schriftliche Begründung verlangt, reduziert sich die Gebühr um CHF 600.00. Die reduzierten Verfahrenskosten betragen damit CHF 13'251.00. II. Weiter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