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122 vom 19. April 2023</w:t>
      </w:r>
    </w:p>
    <w:p>
      <w:r>
        <w:t>BE Obergericht, 2023-04-19, DE</w:t>
      </w:r>
    </w:p>
    <w:p>
      <w:r>
        <w:rPr>
          <w:b/>
        </w:rPr>
        <w:t xml:space="preserve">Quelle: </w:t>
      </w:r>
      <w:r>
        <w:t>https://mcp.opencaselaw.ch/entscheid/be_zivilstraf_SK_2022_122</w:t>
      </w:r>
    </w:p>
    <w:p>
      <w:r>
        <w:t>FR: BE_ZIVILSTRAF SK 2022 122 du 19 avril 2023</w:t>
      </w:r>
    </w:p>
    <w:p>
      <w:r>
        <w:t>IT: BE_ZIVILSTRAF SK 2022 122 del 19 aprile 2023</w:t>
      </w:r>
    </w:p>
    <w:p>
      <w:pPr>
        <w:pStyle w:val="Heading2"/>
      </w:pPr>
      <w:r>
        <w:t>Regeste</w:t>
      </w:r>
    </w:p>
    <w:p>
      <w:r>
        <w:t>qualifizierte Widerhandlungen gegen das Betäubungsmittelgesetz | Strafgesetz</w:t>
      </w:r>
    </w:p>
    <w:p>
      <w:pPr>
        <w:pStyle w:val="Heading2"/>
      </w:pPr>
      <w:r>
        <w:t>Erwägungen</w:t>
      </w:r>
    </w:p>
    <w:p>
      <w:r>
        <w:rPr>
          <w:b/>
        </w:rPr>
        <w:t>E. 1</w:t>
      </w:r>
    </w:p>
    <w:p>
      <w:r>
        <w:t>von der Anschuldigung der qualifizierten Widerhandlungen gegen das Betäubungsmittelge- setz, angeblich mengen-, banden- und gewerbsmässig gemeinsam mit C.________ und an- deren Mittätern begangen durch Einfuhr, Beförderung und Inverkehrbringen von mindestens 4’000 Gramm Kokaingemisch (mindestens 3‘120 Gramm reines Kokain, Reinheitsgrad 78 % Ko- kainbase) in der Zeit vom 26.10.2017 bis am 30.10.2017 in D.________, E.________, F.________, G.________, H.________, I.________, J.________ und evtl. anderswo (Ziff. I.B.1.1.1. AKS);</w:t>
      </w:r>
    </w:p>
    <w:p>
      <w:r>
        <w:rPr>
          <w:b/>
        </w:rPr>
        <w:t>E. 1.1</w:t>
      </w:r>
    </w:p>
    <w:p>
      <w:r>
        <w:t>Einfuhr von mindestens 20'000 Gramm Kokaingemisch (mindestens 15’600 Gramm reines Kokain, Reinheitsgrad 78 % Kokainbase), gemeinsam mit C.________ und Beför- derung von 20'000 Gramm Kokaingemisch davon (mindestens 15’600 Gramm reines</w:t>
      </w:r>
    </w:p>
    <w:p>
      <w:r>
        <w:rPr>
          <w:b/>
        </w:rPr>
        <w:t>E. 1.1.1</w:t>
      </w:r>
    </w:p>
    <w:p>
      <w:r>
        <w:t>Einfuhr und Beförderung von mindestens 4‘000 Gramm Kokaingemisch (mindestens 3‘120 Gramm reines Kokain, Reinheitsgrad 78 %) in der Zeit vom 24.11.2017 bis am 26.11.2017 (Ziff. I.B.1.1.2. AKS);</w:t>
      </w:r>
    </w:p>
    <w:p>
      <w:r>
        <w:rPr>
          <w:b/>
        </w:rPr>
        <w:t>E. 1.1.2</w:t>
      </w:r>
    </w:p>
    <w:p>
      <w:r>
        <w:t>Einfuhr und Beförderung von mindestens 4‘000 Gramm Kokaingemisch (mindestens 3‘120 Gramm reines Kokain, Reinheitsgrad 78 %) in der Zeit vom 09.02.2018 bis am 11.02.2018 (Ziff. I.B.1.1.3. AKS);</w:t>
      </w:r>
    </w:p>
    <w:p>
      <w:r>
        <w:rPr>
          <w:b/>
        </w:rPr>
        <w:t>E. 1.1.3</w:t>
      </w:r>
    </w:p>
    <w:p>
      <w:r>
        <w:t>Einfuhr und Beförderung von mindestens 4‘000 Gramm Kokaingemisch (mindestens 3‘120 Gramm reines Kokain, Reinheitsgrad 78 %) in der Zeit vom 09.03.2018 bis am 11.03.2018 (Ziff. I.B.1.1.4. AKS);</w:t>
      </w:r>
    </w:p>
    <w:p>
      <w:r>
        <w:rPr>
          <w:b/>
        </w:rPr>
        <w:t>E. 1.1.4</w:t>
      </w:r>
    </w:p>
    <w:p>
      <w:r>
        <w:t>Einfuhr und Beförderung von mindestens 4‘000 Gramm Kokaingemisch (mindestens 3‘120 Gramm reines Kokain, Reinheitsgrad 78 %) in der Zeit vom 18.04.2018 bis am 20.04.2018 (Ziff. I.B.1.1.5. AKS);</w:t>
      </w:r>
    </w:p>
    <w:p>
      <w:r>
        <w:rPr>
          <w:b/>
        </w:rPr>
        <w:t>E. 1.1.5</w:t>
      </w:r>
    </w:p>
    <w:p>
      <w:r>
        <w:t>Einfuhr und Beförderung von mindestens 4‘000 Gramm Kokaingemisch (mindestens 3‘120 Gramm reines Kokain, Reinheitsgrad 78 %) in der Zeit vom 18.05.2018 bis am 27.05.2018 (Ziff. I.B.1.1.6. AKS);</w:t>
      </w:r>
    </w:p>
    <w:p>
      <w:r>
        <w:rPr>
          <w:b/>
        </w:rPr>
        <w:t>E. 1.2</w:t>
      </w:r>
    </w:p>
    <w:p>
      <w:r>
        <w:t>bei A.________: 3 Monate […] 3. Folgende Gegenstände werden zur Vernichtung eingezogen (Art. 69 StGB): […] Hinsichtlich A.________: - 1 Mobiltelefon iPhone 7, schwarz, mit schwarzer Hülle (CP) - 1 Mobiltelefon Samsung mit 2 SIM-Karten (T-1) […]</w:t>
      </w:r>
    </w:p>
    <w:p>
      <w:r>
        <w:rPr>
          <w:b/>
        </w:rPr>
        <w:t>E. 2</w:t>
      </w:r>
    </w:p>
    <w:p>
      <w:r>
        <w:t>von der Anschuldigung der Vernachlässigung von Unterhaltspflichten, angeblich begangen vom 08.07.2018 bis 31.08.2019 sowie von März 2020 bis April 2020 in K.________ (Ziff. I.B.3. AKS) ohne Ausrichtung einer Entschädigung und ohne Ausscheidung von Verfahrenskosten. III. A.________ wird schuldig erklärt: 1. der qualifizierten Widerhandlungen gegen das Betäubungsmittelgesetz, mengen- und ge- werbsmässig begangen, in der Zeit vom 24.11.2017 bis am 07.07.2018 in D.________, E.________, F.________, G.________, H.________, I.________ und J.________ durch</w:t>
      </w:r>
    </w:p>
    <w:p>
      <w:r>
        <w:rPr>
          <w:b/>
        </w:rPr>
        <w:t>E. 3</w:t>
      </w:r>
    </w:p>
    <w:p>
      <w:r>
        <w:t>Zu den auf ihn entfallenden Verfahrenskosten (2/6), sich zusammensetzend aus Gebühren von CHF 13'349.85 und Auslagen (inkl. Kosten für die amtliche Verteidigung) von CHF 35'467.60, insgesamt bestimmt auf CHF 48'817.45 (ohne Kosten für die amtliche Verteidigung auf CHF 21'946.20). [Tabellarische Zusammenstellung der Verfahrenskosten] […]</w:t>
      </w:r>
    </w:p>
    <w:p>
      <w:r>
        <w:rPr>
          <w:b/>
        </w:rPr>
        <w:t>E. 4</w:t>
      </w:r>
    </w:p>
    <w:p>
      <w:r>
        <w:t>Folgende Gegenstände verbleiben als Beweismittel bei den Akten: […] Hinsichtlich A.________: - 1 Notizzettel mit Angaben über G.________ (T-3)</w:t>
      </w:r>
    </w:p>
    <w:p>
      <w:r>
        <w:rPr>
          <w:b/>
        </w:rPr>
        <w:t>E. 5</w:t>
      </w:r>
    </w:p>
    <w:p>
      <w:r>
        <w:t>Folgende Gegenstände werden A.________ nach Eintritt der Rechtskraft des vorliegenden Ur- teils zurückgegeben: - 1 Pfefferspray (T-2) - 1 AF.________ aus dem PW M.________ (Auto), grau, .________ […]</w:t>
      </w:r>
    </w:p>
    <w:p>
      <w:r>
        <w:rPr>
          <w:b/>
        </w:rPr>
        <w:t>E. 5.1</w:t>
      </w:r>
    </w:p>
    <w:p>
      <w:r>
        <w:t>Anträge des Beschuldigten Der Beschuldigte beantragte anlässlich der Berufungsverhandlung was folgt (pag. 2943 ff.; Hervorhebungen im Original): I. Es sei festzustellen, dass das Urteil des Regionalgerichts Berner Jura-Seeland vom 5. Novem- ber 2021 (PEN 20 767-769) insofern in Rechtskraft erwachsen ist, als dass das Strafverfahren gegen A.________ eingestellt wurde wegen Widerhandlungen gegen das Betäubungsmittelgesetz, angeb- lich begangen von November 2017 bis 07.07.2018 in D.________ und evtl. anderswo (Ziff. B./I.). II. Es sei festzustellen, dass das Urteil des Regionalgerichts Berner Jura-Seeland vom 5. Novem- ber 2021 (PEN 20 767-769) insofern in Rechtskraft erwachsen ist, als dass A.________ 1. freigesprochen wurde von der Anschuldigung der qualifizierten Widerhandlung gegen das Betäubungsmittelgesetz, angeblich mengen-, banden- und gewerbsmässig gemeinsam mit C.________ und anderen Mittätern begangen in der Zeit vom 26.10.2017 bis am 30.10.2017 (Ziff. B./II./1.); 2. freigesprochen wurde von der Anschuldigung der Vernachlässigung von Unterhaltspflichten, an- geblich begangen vom 08.07.2018 bis 31.08.2019 sowie von März 2020 bis April 2020 (Ziff. B./II./2.); 3. schuldig gesprochen wurde wegen Vernachlässigung von Unterhaltspflichten, begangen von April 2017 bis am 07.07.2018 sowie von September 2019 bis Februar 2020 in K.________ (Ziff. B./III./2.); 4. zu einer bedingten Geldstrafe von 55 Tagessätzen zu CHF 30.00, ausmachend total CHF 1650.00, bei einer Probezeit von 2 Jahren, verurteilt wurde.</w:t>
      </w:r>
    </w:p>
    <w:p>
      <w:r>
        <w:t>7 III. A.________ sei schuldig zu sprechen, wegen qualifizierter Widerhandlung gegen das Betäubungsmit- telgesetz, mengen- und gewerbsmässig begangen, in der Zeit vom 24.11.2017 bis 07.07.2018 in D.________, E.________, F.________, G.________, H.________, I.________ und J.________ in folgenden Fällen:</w:t>
      </w:r>
    </w:p>
    <w:p>
      <w:r>
        <w:rPr>
          <w:b/>
        </w:rPr>
        <w:t>E. 7</w:t>
      </w:r>
    </w:p>
    <w:p>
      <w:r>
        <w:t>Der beschlagnahmte Geldbetrag von CHF 842.10 betreffend A.________ wird eingezogen (Art. 70 StGB).</w:t>
      </w:r>
    </w:p>
    <w:p>
      <w:r>
        <w:rPr>
          <w:b/>
        </w:rPr>
        <w:t>E. 8</w:t>
      </w:r>
    </w:p>
    <w:p>
      <w:r>
        <w:t>Die folgenden beschlagnahmten Vermögenswerte werden eingezogen (Art. 70 StGB): […] - PW M.________(Auto), grau, .________ (A.________) […]</w:t>
      </w:r>
    </w:p>
    <w:p>
      <w:r>
        <w:t>5</w:t>
      </w:r>
    </w:p>
    <w:p>
      <w:r>
        <w:rPr>
          <w:b/>
        </w:rPr>
        <w:t>E. 11</w:t>
      </w:r>
    </w:p>
    <w:p>
      <w:r>
        <w:t>Die Zustimmung zur Löschung des erstellten DNA-Profils von A.________ (PCN-Nr. .________) nach Ablauf der Frist wird dem zuständigen Bundesamt erteilt (Art. 16 Abs. 4 DNA-ProfilG).</w:t>
      </w:r>
    </w:p>
    <w:p>
      <w:r>
        <w:rPr>
          <w:b/>
        </w:rPr>
        <w:t>E. 12</w:t>
      </w:r>
    </w:p>
    <w:p>
      <w:r>
        <w:t>Die Zustimmung zur Löschung der erhobenen biometrischen erkennungsdienstlichen Daten von A.________ durch die auftraggebende Behörde wird nach Ablauf der Frist erteilt (Art. 17 Abs. 4 i.V.m. 19 Abs. 1 Verordnung über die Bearbeitung biometrischer erkennungsdienstlicher Daten). […] [Eröffnungsformel] 2. Berufung Gegen dieses Urteil meldete der Beschuldigte, amtlich verteidigt durch Rechtsan- walt B.________, mit Schreiben vom 17. November 2021 fristgerecht Berufung an (pag. 2544). Die namens und Auftrags des Beschuldigten eingereichte Berufungs- erklärung der Verteidigung (pag. 2830 ff.) ging fristgerecht ein. Der Beschuldigte erklärte darin, dass das erstinstanzliche Urteil nur in Teilen angefochten werde. Die Berufung beschränke sich auf die Schuldsprüche gemäss Ziff. B./III./1. (1.1-1.2), auf die Sanktion gemäss Ziff. B./III./1., die mit den Freisprüchen zusammenhän- genden Nebenfolgen gemäss Ziff. B./II. (Verfahrenskosten und Nichtausrichtung einer Entschädigung) sowie die Verpflichtung zur vollständigen Rückzahlung der amtlichen Entschädigung an den Kanton Bern gemäss Ziff. D./4. des erstinstanzli- chen Urteils (pag. 2831). Die Generalstaatsanwaltschaft erklärte am 29. März 2022 innert Frist Anschlussbe- rufung in Bezug auf die Vorsatzform (direkter Vorsatz anstelle von Eventualvorsatz) und die Strafzumessung (pag. 2838). Der N.________ (nachfolgend: Strafklägerin) liess sich innert Frist nicht vernehmen (pag. 2843). Gründe für ein Nichteintreten wurden weder in Bezug auf die Berufung noch betref- fend die Anschlussberufung geltend gemacht (pag. 2838 und pag. 2851). 3. Entlassung der Strafklägerin aus dem Verfahren Mit Verfügung vom 20. Mai 2022 (pag. 2853 f.) wurde festgestellt, dass sich die Strafklägerin nicht hat vernehmen lassen. Sie wurde aus dem Verfahren entlassen, da der Beschuldigte den Schuldspruch wegen Vernachlässigung von Unterhalts- pflichten akzeptiert hatte und weder die Generalstaatsanwaltschaft noch die Straf- klägerin selber den Freispruch wegen Vernachlässigung von Unterhaltspflichten angefochten hatten. Die Strafklägerin ist durch die oberinstanzlich noch strittigen Punkte weder betroffen noch beschwert. Am 14. März 2023 teilte die Strafklägerin der Kammer mit, seit der Erhebung ihrer Strafklage sei mit dem Beschuldigten eine Vereinbarung über die Rückzahlung der Schulden getroffen worden. In der Folge werde die Strafklage resp. der Strafantrag zurückgezogen (pag. 2895). Mangels Berufung betreffend den Freispruch sowie den Schuldspruch wegen Vernachlässigung von Unterhaltspflichten war das erstin- stanzliche Urteil in diesen Punkten zum Zeitpunkt des Schreibens allerdings bereits in Rechtskraft erwachsen (siehe Ziff. 6 unten). Der Rückzug des Strafantrags resp. der Strafklage ist deshalb unbeachtlich.</w:t>
      </w:r>
    </w:p>
    <w:p>
      <w:r>
        <w:t>6 4. Oberinstanzliche Beweisergänzungen Im Hinblick auf die oberinstanzliche Verhandlung wurde von Amtes wegen ein ak- tueller Strafregisterauszug, datierend vom 5. April 2023, über den Beschuldigten eingeholt (pag. 2907). Anlässlich der Berufungsverhandlung wurden von Seiten der Verteidigung diverse Unterlagen zur aktuellen Lebenssituation des Beschuldigten eingereicht und zu den Akten erkannt (pag. 2931 ff.). Weiter wurde der Beschuldigte an der Berufungsver- handlung erneut befragt (pag. 2911 ff.). 5.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