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SK 2021 604 vom 25. Oktober 2021</w:t>
      </w:r>
    </w:p>
    <w:p>
      <w:r>
        <w:t>BE Obergericht, 2021-10-25, FR</w:t>
      </w:r>
    </w:p>
    <w:p>
      <w:r>
        <w:rPr>
          <w:b/>
        </w:rPr>
        <w:t xml:space="preserve">Quelle: </w:t>
      </w:r>
      <w:r>
        <w:t>https://mcp.opencaselaw.ch/entscheid/be_zivilstraf_SK_2021_604</w:t>
      </w:r>
    </w:p>
    <w:p>
      <w:r>
        <w:t>FR: BE_ZIVILSTRAF SK 2021 604 du 25 octobre 2021</w:t>
      </w:r>
    </w:p>
    <w:p>
      <w:r>
        <w:t>IT: BE_ZIVILSTRAF SK 2021 604 del 25 ottobre 2021</w:t>
      </w:r>
    </w:p>
    <w:p>
      <w:pPr>
        <w:pStyle w:val="Heading2"/>
      </w:pPr>
      <w:r>
        <w:t>Regeste</w:t>
      </w:r>
    </w:p>
    <w:p>
      <w:r>
        <w:t>mise en exécution de la mesure d'internement et de placement | Sicherheitsdirektion (SID)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décision du 21 juillet 2021, dans le contexte de la mise en exécution de la mesure d’internement au sens de l’art. 64 du Code pénal (CP ; RS 311.0) prononcée à l’égard d’A.________, la Section de la probation et de l'exécution des sanctions pénales (ci-après : SPESP) a décidé que la mesure d’internement ordonnée par jugement du 30 juin 2006 de la Cour suprême du canton de Berne serait mise en exécution à la fin de la peine privative de liberté. Le début de la mesure d’internement a été fixé au 8 août 2021. La SPESP a en outre refusé de soumettre les rapports des Dr C.________ et D.________ à la Commission consultative de libération conditionnelle et d'examen de la dangerosité (ci-après: la CLCED) ainsi que la demande d’A.________ de pouvoir être soumis à un expert indépendant avant qu’une décision ne soit prise à son sujet.</w:t>
      </w:r>
    </w:p>
    <w:p>
      <w:r>
        <w:rPr>
          <w:b/>
        </w:rPr>
        <w:t>E. 2</w:t>
      </w:r>
    </w:p>
    <w:p>
      <w:r>
        <w:t>Le 25 octobre 2021, statuant sur le recours déposé par A.________ à l’encontre de la décision susmentionnée, la Direction de la sécurité du canton de Berne (ci-après : DSE) a décidé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