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2021 326 vom 5. Mai 2021</w:t>
      </w:r>
    </w:p>
    <w:p>
      <w:r>
        <w:t>BE Obergericht, 2021-05-05, DE</w:t>
      </w:r>
    </w:p>
    <w:p>
      <w:r>
        <w:rPr>
          <w:b/>
        </w:rPr>
        <w:t xml:space="preserve">Quelle: </w:t>
      </w:r>
      <w:r>
        <w:t>https://mcp.opencaselaw.ch/entscheid/be_zivilstraf_SK_2021_326</w:t>
      </w:r>
    </w:p>
    <w:p>
      <w:r>
        <w:t>FR: BE_ZIVILSTRAF SK 2021 326 du 5 mai 2021</w:t>
      </w:r>
    </w:p>
    <w:p>
      <w:r>
        <w:t>IT: BE_ZIVILSTRAF SK 2021 326 del 5 maggio 2021</w:t>
      </w:r>
    </w:p>
    <w:p>
      <w:pPr>
        <w:pStyle w:val="Heading2"/>
      </w:pPr>
      <w:r>
        <w:t>Regeste</w:t>
      </w:r>
    </w:p>
    <w:p>
      <w:r>
        <w:t>Widerhandlung gegen das Ausländergesetz | Ausländer- und Integrationsgesetz</w:t>
      </w:r>
    </w:p>
    <w:p>
      <w:pPr>
        <w:pStyle w:val="Heading2"/>
      </w:pPr>
      <w:r>
        <w:t>Erwägungen</w:t>
      </w:r>
    </w:p>
    <w:p>
      <w:r>
        <w:rPr>
          <w:b/>
        </w:rPr>
        <w:t>E. 1</w:t>
      </w:r>
    </w:p>
    <w:p>
      <w:r>
        <w:t>Erstinstanzliches Urteil Mit Urteil vom 5. Mai 2021 wurde das Strafverfahren gegen A.________ wegen Wi- derhandlungen gegen das Bundesgesetz betreffend die Lotterien und die gewerbs- mässigen Wetten wegen Verjährung eingestellt, ohne Ausrichtung einer Entschädi- gung und ohne Ausscheidung von Verfahrenskosten. A.________ wurde freigespro- chen von der Anschuldigung der Widerhandlung gegen das Ausländergesetz durch Erwerbstätigkeit ohne Bewilligung, unter Ausrichtung einer Entschädigung von CHF 6'420.85 für die angemessene Ausübung ihrer Verfahrensrechte, einer Entschädi- gung von CHF 1'525.00 für die wirtschaftlichen Einbussen, die ihr aus der notwendi- gen Beteiligung am Strafverfahren entstanden sind, sowie einer Genugtuung von CHF 200.00 für die besonders schweren Verletzungen ihrer persönlichen Verhält- nisse (ein Tag Polizeihaft). Die erstinstanzlichen Verfahrenskosten von insgesamt CHF 2'420.00 wurden dem Kanton Bern auferlegt und es wurden weiter die nötigen Verfügungen getroffen (pag. 339 ff.).</w:t>
      </w:r>
    </w:p>
    <w:p>
      <w:r>
        <w:rPr>
          <w:b/>
        </w:rPr>
        <w:t>E. 2</w:t>
      </w:r>
    </w:p>
    <w:p>
      <w:r>
        <w:t>Berufung Gegen dieses Urteil meldete A.________, verteidigt durch Rechtsanwalt B.________, am 17. Mai 2021 fristgerecht die Berufung an (pag. 346). Die erstin- stanzliche Urteilsbegründung datiert vom 22. Juli 2021 und wurde mit Verfügung vom gleichen Tag zugestellt (pag. 365). Mit Eingabe vom 12. August 2021 erklärte A.________ (nachfolgend Berufungsführerin) form- und fristgerecht die Berufung, wobei das erstinstanzliche Urteil einzig hinsichtlich der Entschädigung für die ange- messene Ausübung der Verfahrensrechte angefochten wurde (pag. 376 ff.). Die Ge- neralstaatsanwaltschaft verzichtete mit Eingabe vom 19. August 2021 auf die Teil- nahme am oberinstanzlichen Verfahren (pag. 387 f.). Mit Verfügung vom 6. Septem- ber 2021 wurde gestützt auf Art. 406 Abs. 1 Bst. d der Schweizerischen Strafpro- zessordnung (StPO; SR 312.0) ein schriftliches Verfahren angeordnet. Gleichzeitig wurde der Berufungsführerin eine Frist zur schriftlichen Begründung der Berufung angesetzt (pag. 393 ff.). Mit Eingabe vom 27. September 2021 reichte die Berufungs- führerin ihre schriftliche Berufungsbegründung zu den Akten (pag. 398 ff.). Mit Ver- fügung vom 28. September 2021 erachtete die Verfahrensleitung den Schriftenwech- sel als abgeschlossen und stellte den schriftlichen Entscheid der Kammer in Aussicht (pag. 405 f.). Am 2. Dezember 2021 wurde der Berufungsführerin die geänderte Kammerzusammensetzung bekannt gegeben (pag. 407 f.). Mit Eingabe vom 15. De- zember 2021 reichte Rechtsanwalt B.________ seine Honorarnote für das oberin- stanzliche Verfahren zu den Akten (pag. 410 ff.).</w:t>
      </w:r>
    </w:p>
    <w:p>
      <w:r>
        <w:rPr>
          <w:b/>
        </w:rPr>
        <w:t>E. 3</w:t>
      </w:r>
    </w:p>
    <w:p>
      <w:r>
        <w:t>A. Es sei festzustellen, dass das Urteil vom 5. Mai 2021 des Regionalgerichts Berner Jura-Seeland, Ein- zelgericht, insoweit in Rechtskraft erwachsen ist, als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