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193 vom 23. Mai 2022</w:t>
      </w:r>
    </w:p>
    <w:p>
      <w:r>
        <w:t>BE Obergericht, 2022-05-23, DE</w:t>
      </w:r>
    </w:p>
    <w:p>
      <w:r>
        <w:rPr>
          <w:b/>
        </w:rPr>
        <w:t xml:space="preserve">Quelle: </w:t>
      </w:r>
      <w:r>
        <w:t>https://mcp.opencaselaw.ch/entscheid/be_zivilstraf_SK_2021_193</w:t>
      </w:r>
    </w:p>
    <w:p>
      <w:r>
        <w:t>FR: BE_ZIVILSTRAF SK 2021 193 du 23 mai 2022</w:t>
      </w:r>
    </w:p>
    <w:p>
      <w:r>
        <w:t>IT: BE_ZIVILSTRAF SK 2021 193 del 23 maggio 2022</w:t>
      </w:r>
    </w:p>
    <w:p>
      <w:pPr>
        <w:pStyle w:val="Heading2"/>
      </w:pPr>
      <w:r>
        <w:t>Regeste</w:t>
      </w:r>
    </w:p>
    <w:p>
      <w:r>
        <w:t>Diebstahl, Sachbeschädigung, Hausfriedensbruch etc. | Strafgesetz</w:t>
      </w:r>
    </w:p>
    <w:p>
      <w:pPr>
        <w:pStyle w:val="Heading2"/>
      </w:pPr>
      <w:r>
        <w:t>Erwägungen</w:t>
      </w:r>
    </w:p>
    <w:p>
      <w:r>
        <w:rPr>
          <w:b/>
        </w:rPr>
        <w:t>E. 1</w:t>
      </w:r>
    </w:p>
    <w:p>
      <w:r>
        <w:t>Erstinstanzliches Urteil Mit Urteil vom 23. Februar 2021 sprach das Regionalgericht Bern-Mittelland (Ein- zelgericht; nachfolgend: Vorinstanz) A.________ (nachfolgend: Beschuldigter) von der Anschuldigung der geringfügigen Sachbeschädigung, angeblich begangen am 9./10. Juli 2020 in Bern, sowie von der Anschuldigung der Widerhandlung gegen das Gesetz über das kantonale Strafrecht [KStrG; BSG 311.1], angeblich began- gen am 18. April 2020, frei, ohne Ausrichtung einer Entschädigung und ohne Aus- scheidung von Verfahrenskosten. Hingegen erklärte die Vorinstanz den Beschul- digten des mehrfachen (teilweise versuchten) Diebstahls, der mehrfachen Sachbe- schädigung, des mehrfachen Hausfriedensbruchs, der mehrfachen Hinderung einer Amtshandlung, des mehrfachen geringfügigen Diebstahls, der mehrfachen Wider- handlung gegen das Bundesgesetz über die Betäubungsmittel und die psychotro- pen Stoffe [BetmG; SR 812.121], der Widerhandlung gegen die Verordnung 2 über Massnahmen zur Bekämpfung des Coronavirus (COVID-19) [Covid-19 Verordnung 2; SR 818.101.24] in der Fassung vom A.________ 2020 und der Widerhandlung gegen das KStrG (Ziff. I. und II. des erstinstanzlichen Urteilsdispositivs, pag. 706 f.) schuldig. In Anwendung der einschlägigen Gesetzesbestimmungen wurde der Beschuldigte zu einer Freiheitsstrafe von 17 Monaten verurteilt, wobei 143 Tage ausgestandene Polizei-, Untersuchungs- und Sicherheitshaft in vollem Umfang angerechnet wur- den und der Vollzug der Reststrafe aufgeschoben sowie die Probezeit auf drei Jah- re festgesetzt wurde. Zudem wurde er zu einer Geldstrafe von 45 Tagessätzen zu CHF 30.00, ausmachend CHF 1'350.00, ebenfalls unter Gewährung des bedingten Vollzugs bei einer Probezeit von drei Jahren sowie zu einer Übertretungsbusse von CHF 1'250.00, unter Festsetzung einer Ersatzfreiheitsstrafe von 13 Tagen bei schuldhafter Nichtbezahlung verurteilt. Weiter auferlegte die Vorinstanz dem Be- schuldigten die Bezahlung der Verfahrenskosten im Umfang von CHF 15'316.95 (Ziff. II. des erstinstanzlichen Urteilsdispositivs, pag. 708). Im Übrigen verzichtete die Vorinstanz auf die Anordnung der obligatorischen Lan- desverweisung und verfügte die unverzügliche Freilassung des Beschuldigten aus der Sicherheitshaft. Ferner ordnete sie die Einziehung und Vernichtung von Drogen und Drogenutensilien, eines Bolzenschneiders, eines Geissfusses, einer via- graähnlichen Flüssigkeit sowie eines Pfeffersprays «D.________» an (Ziff. IV. des erstinstanzlichen Urteilsdispositivs, pag. 709 f.).</w:t>
      </w:r>
    </w:p>
    <w:p>
      <w:r>
        <w:rPr>
          <w:b/>
        </w:rPr>
        <w:t>E. 2</w:t>
      </w:r>
    </w:p>
    <w:p>
      <w:r>
        <w:t>Berufung Gegen dieses Urteil meldete Staatsanwalt E.________ mit Eingabe vom 4. März 2021 innert Frist Berufung an (pag. 714). Die schriftliche Urteilsbegründung datiert vom 4. Mai 2021 und wurde den Parteien gleichentags zugestellt (pag. 809 f.). Die Berufungserklärung der Generalstaatsanwaltschaft datiert vom 12. Mai 2021 und erfolgte frist- und formgerecht (pag. 814 ff.). Sie beschränkte ihre Berufung auf den</w:t>
      </w:r>
    </w:p>
    <w:p>
      <w:r>
        <w:rPr>
          <w:b/>
        </w:rPr>
        <w:t>E. 3</w:t>
      </w:r>
    </w:p>
    <w:p>
      <w:r>
        <w:t>Oberinstanzliche Beweisergänzungen Die Parteien stellten vorab keine Beweisanträge (pag. 815). Im Hinblick auf die oberinstanzliche Berufungsverhandlung wurden von Amtes we- gen ein aktueller Strafregisterauszug vom 19. April 2022 (pag. 1082) und ein aktu- eller Leumundsbericht vom 14. April 2022 samt Betreibungsregisterauszug und Steuerausweis 2020 (pag. 1076 ff.) über den Beschuldigten eingeholt. Das Polizei- inspektorat Bern, Abteilung Einwohnerdienste, Migration und Fremdenpolizei (nachfolgend: EMF) aktualisierte auf gerichtliche Aufforderung hin mit Schreiben vom 25. Februar 2022 (pag. 866 ff.) den am 14. Januar 2021 zuhanden der Vorin- stanz beantworteten Fragenkatalog (pag. 641 ff.). Überdies legte sie die zum Be- schuldigten verfügbaren Akten BN 21579510 in Kopie bei (pag. 868-1070). Weiter reichte das Staatssekretariat für Migration, Direktionsbereich Asyl (nachfolgend: SEM) mit Schreiben vom 24. Februar 2021 den Bericht im Hinblick auf die Prüfung der strafrechtlichen Landesverweisung ein (pag. 862 f.). Von Amtes wegen wurden sodann bei der Staatsanwaltschaft Bern-Mittelland die Strafakten BM 22 7020 ediert. Der Beschuldigte wurde anlässlich der oberinstanzlichen Verhandlung ergänzend zur Person und zur Sache einvernommen (pag. 1100 ff.).</w:t>
      </w:r>
    </w:p>
    <w:p>
      <w:r>
        <w:rPr>
          <w:b/>
        </w:rPr>
        <w:t>E. 4</w:t>
      </w:r>
    </w:p>
    <w:p>
      <w:r>
        <w:t>Anträge der Parteien Generalstaatsanwalt F.________ stellte in der Berufungsverhandlung vom 23. Mai 2022 namens der Generalstaatsanwaltschaft folgende Anträge (pag. 1133.1 ff.; Hervorhebungen im Original): I. Es sei festzustellen, dass das erstinstanzliche Urteil des Regionalgerichts Bern-Mittelland (Einzelgericht) vom 23. Februar 2021 in Rechtskraft erwachsen ist hinsichtlich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