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419 vom 28. Oktober 2020</w:t>
      </w:r>
    </w:p>
    <w:p>
      <w:r>
        <w:t>BE Obergericht, 2020-10-28, DE</w:t>
      </w:r>
    </w:p>
    <w:p>
      <w:r>
        <w:rPr>
          <w:b/>
        </w:rPr>
        <w:t xml:space="preserve">Quelle: </w:t>
      </w:r>
      <w:r>
        <w:t>https://mcp.opencaselaw.ch/entscheid/be_zivilstraf_SK_2020_419</w:t>
      </w:r>
    </w:p>
    <w:p>
      <w:r>
        <w:t>FR: BE_ZIVILSTRAF SK 2020 419 du 28 octobre 2020</w:t>
      </w:r>
    </w:p>
    <w:p>
      <w:r>
        <w:t>IT: BE_ZIVILSTRAF SK 2020 419 del 28 ottobre 2020</w:t>
      </w:r>
    </w:p>
    <w:p>
      <w:pPr>
        <w:pStyle w:val="Heading2"/>
      </w:pPr>
      <w:r>
        <w:t>Regeste</w:t>
      </w:r>
    </w:p>
    <w:p>
      <w:r>
        <w:t>Revisionsgesuch | Staatsanwaltschaft Bern-Mittelland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Strafbefehl der Staatsanwaltschaft des Kantons Bern, Region Bern-Mittelland (nachfolgend: Gesuchstellerin), vom 22. November 2019 (Verfahren BM 19 45491) wurde A.________ (nachfolgend: Verurteilte) schuldig erklärt wegen Hausfriedens- bruchs und Diebstahls, geringfügiger Vermögenswert, beides mehrfach begangen z.N. der C.________ [Unternehmen] (Ziff. 1 des Strafbefehls), und verurteilt zu ei- ner Geldstrafe von 28 Tagessätzen zu je CHF 30.00, insgesamt ausmachend CHF 840.00, wobei der Vollzug der Geldstrafe aufgeschoben und die Probezeit auf</w:t>
      </w:r>
    </w:p>
    <w:p>
      <w:r>
        <w:rPr>
          <w:b/>
        </w:rPr>
        <w:t>E. 2</w:t>
      </w:r>
    </w:p>
    <w:p>
      <w:r>
        <w:t>Jahre festgesetzt wurde (Ziff. 2 des Strafbefehls), zu einer Verbindungsbusse von CHF 210.00, wobei die Ersatzfreiheitsstrafe bei schuldhaftem Nichtbezahlen auf</w:t>
      </w:r>
    </w:p>
    <w:p>
      <w:r>
        <w:rPr>
          <w:b/>
        </w:rPr>
        <w:t>E. 7</w:t>
      </w:r>
    </w:p>
    <w:p>
      <w:r>
        <w:t>Der Verurteilten wird im genannten Arztbericht namentlich eine leichte Demenz mit globalen kognitiven Defiziten attestiert. Eine Demenz kann Einfluss auf die Ein- sichts- und Steuerungsfähigkeit einer Person und damit – je nach Ausmass – nach Art. 19 Abs. 1 oder 2 StGB zu einer erheblich milderen Strafe bzw. i.V.m. Art. 319 Abs. 1 Bst. c StPO zur Einstellung des Verfahrens führen. Letzteres ist im Verfah- ren BM 20 8319 gestützt auf den genannten Arztbericht denn auch geschehen.</w:t>
      </w:r>
    </w:p>
    <w:p>
      <w:r>
        <w:rPr>
          <w:b/>
        </w:rPr>
        <w:t>E. 8</w:t>
      </w:r>
    </w:p>
    <w:p>
      <w:r>
        <w:t>Der Arztbericht stellt somit ein unechtes und von Art. 410 Abs. 1 Bst. a StPO er- fasstes Novum dar, das geeignet ist, eine wesentlich mildere Bestrafung bzw. eine Einstellung des Verfahrens herbeizuführen, die einem Freispruch gleichkommt.</w:t>
      </w:r>
    </w:p>
    <w:p>
      <w:r>
        <w:rPr>
          <w:b/>
        </w:rPr>
        <w:t>E. 9</w:t>
      </w:r>
    </w:p>
    <w:p>
      <w:r>
        <w:t>Das Revisionsgesuch ist daher gutzuheissen, der Strafbefehl vom 22. Novem- ber 2019 aufzuheben und die Sache zur Abklärung und Beurteilung der Schuld- fähigkeit der Verurteilten an die Staatsanwaltschaft des Kantons Bern, Region Bern-Mittelland, zurückzuweisen (Art. 413 Abs. 2 und 3 StPO).</w:t>
      </w:r>
    </w:p>
    <w:p>
      <w:r>
        <w:t>4 III.</w:t>
      </w:r>
    </w:p>
    <w:p>
      <w:r>
        <w:rPr>
          <w:b/>
        </w:rPr>
        <w:t>E. 10</w:t>
      </w:r>
    </w:p>
    <w:p>
      <w:r>
        <w:t>Bei diesem Ausgang des Verfahrens hat der Kanton Bern die Kosten des Revisi- onsverfahrens zu tragen (BSK StPO-DOMEISEN, Art. 428 N 27). Diese werden auf CHF 800.00 bestimmt (Art. 25 Bst. a Verfahrenskostendekret [VKD; BSG 161.12]).</w:t>
      </w:r>
    </w:p>
    <w:p>
      <w:r>
        <w:t>5 Die 2. Strafkammer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