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2020 41 vom 8. Dezember 2020</w:t>
      </w:r>
    </w:p>
    <w:p>
      <w:r>
        <w:t>BE Obergericht, 2020-12-08, DE</w:t>
      </w:r>
    </w:p>
    <w:p>
      <w:r>
        <w:rPr>
          <w:b/>
        </w:rPr>
        <w:t xml:space="preserve">Quelle: </w:t>
      </w:r>
      <w:r>
        <w:t>https://mcp.opencaselaw.ch/entscheid/be_zivilstraf_SK_2020_41</w:t>
      </w:r>
    </w:p>
    <w:p>
      <w:r>
        <w:t>FR: BE_ZIVILSTRAF SK 2020 41 du 8 décembre 2020</w:t>
      </w:r>
    </w:p>
    <w:p>
      <w:r>
        <w:t>IT: BE_ZIVILSTRAF SK 2020 41 del 8 dicembre 2020</w:t>
      </w:r>
    </w:p>
    <w:p>
      <w:pPr>
        <w:pStyle w:val="Heading2"/>
      </w:pPr>
      <w:r>
        <w:t>Regeste</w:t>
      </w:r>
    </w:p>
    <w:p>
      <w:r>
        <w:t>schwere Körperverletzung und Tätlichkeiten sowie Rückversetzung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schweren Körperverletzung, begangen am ________2017 in F.________ z.N. von C.________;</w:t>
      </w:r>
    </w:p>
    <w:p>
      <w:r>
        <w:rPr>
          <w:b/>
        </w:rPr>
        <w:t>E. 2</w:t>
      </w:r>
    </w:p>
    <w:p>
      <w:r>
        <w:t>der Tätlichkeiten, begangen am ________2017 in F.________ z.N. von E.________. III. Bezüglich der bei A.________ mit Verfügung des Amtes für Straf- und Massnahmenvollzug vom 18.08.2016 aufgeschobenen Reststrafe von 2 Monaten und 12 Tagen aus den Strafbefehlen der regi- onalen Staatsanwaltschaft Emmental-Oberaargau vom 22.04.2013, 09.10.2013 und 26.03.2014 wird die Rückversetzung in den Strafvollzug angeordnet. IV. A.________ wird in Anwendung der Art. 40, 47, 63, 66a Abs. 1 lit. b, 89 Abs. 1 und 6 i.V.m. 49 Abs. 1, 106, 122, 126 Abs. 1 aStGB; Art. 426 ff. StPO; sowie unter Einbezug der seinerzeit aufgeschobenen und nunmehr zu vollziehenden Reststrafe im Sinne einer Gesamtstrafe gemäss Art. 89 Abs. 6 StGB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