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2020 40 vom 20. April 2020</w:t>
      </w:r>
    </w:p>
    <w:p>
      <w:r>
        <w:t>BE Obergericht, 2020-04-20, DE</w:t>
      </w:r>
    </w:p>
    <w:p>
      <w:r>
        <w:rPr>
          <w:b/>
        </w:rPr>
        <w:t xml:space="preserve">Quelle: </w:t>
      </w:r>
      <w:r>
        <w:t>https://mcp.opencaselaw.ch/entscheid/be_zivilstraf_SK_2020_40</w:t>
      </w:r>
    </w:p>
    <w:p>
      <w:r>
        <w:t>FR: BE_ZIVILSTRAF SK 2020 40 du 20 avril 2020</w:t>
      </w:r>
    </w:p>
    <w:p>
      <w:r>
        <w:t>IT: BE_ZIVILSTRAF SK 2020 40 del 20 aprile 2020</w:t>
      </w:r>
    </w:p>
    <w:p>
      <w:pPr>
        <w:pStyle w:val="Heading2"/>
      </w:pPr>
      <w:r>
        <w:t>Regeste</w:t>
      </w:r>
    </w:p>
    <w:p>
      <w:r>
        <w:t>Widerhandlung gegen das Betäubungsmittelgesetz | Betäubungsmittelgesetz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A.________ (nachfolgend: Beschuldigter) wurde mit Strafbefehl EO 19 5857 vom</w:t>
      </w:r>
    </w:p>
    <w:p>
      <w:r>
        <w:rPr>
          <w:b/>
        </w:rPr>
        <w:t>E. 6</w:t>
      </w:r>
    </w:p>
    <w:p>
      <w:r>
        <w:t>September 2019 wegen Widerhandlung gegen das Betäubungsmittelgesetz (BetmG; SR 812.121) durch unbefugten Konsum von Marihuana schuldig erklärt. Die Regionale Staatsanwaltschaft Emmental-Oberaargau (nachfolgend: Staatsan- waltschaft) verurteilte den Beschuldigten zu einer Busse von CHF 100.00 sowie zur Bezahlung von Gebühren in der Höhe von CHF 100.00 (pag. 3). Nachdem der Be- schuldigte Einsprache gegen die Strafbefehle erhoben (pag. 5) und die Staatsan- waltschaft am Strafbefehl festgehalten hatte (pag.12), fand am 15. Januar 2020 vor dem Regionalgericht Emmental-Oberaargau (nachfolgend: Regionalgericht oder Vorinstanz) die Hauptverhandlung statt (pag. 27 ff.). Das Regionalgericht erkannte gleichentags was folgt: (pag. 33 f.): Die Gerichtspräsidentin erkennt: I. A.________ wird schuldig erklärt: der Widerhandlung gegen das Betäubungsmittelgesetz durch unbefugten Konsum von Mari- huana, begangen am 03.05.2019 in B.________, C.________-Strasse, und in Anwendung der Art. 47 und 106 StGB, Art. 19a BetmG Art. 426 Abs. 1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