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2019 88 vom 16. August 2019</w:t>
      </w:r>
    </w:p>
    <w:p>
      <w:r>
        <w:t>BE Obergericht, 2019-08-16, DE</w:t>
      </w:r>
    </w:p>
    <w:p>
      <w:r>
        <w:rPr>
          <w:b/>
        </w:rPr>
        <w:t xml:space="preserve">Quelle: </w:t>
      </w:r>
      <w:r>
        <w:t>https://mcp.opencaselaw.ch/entscheid/be_zivilstraf_SK_2019_88</w:t>
      </w:r>
    </w:p>
    <w:p>
      <w:r>
        <w:t>FR: BE_ZIVILSTRAF SK 2019 88 du 16 août 2019</w:t>
      </w:r>
    </w:p>
    <w:p>
      <w:r>
        <w:t>IT: BE_ZIVILSTRAF SK 2019 88 del 16 agosto 2019</w:t>
      </w:r>
    </w:p>
    <w:p>
      <w:pPr>
        <w:pStyle w:val="Heading2"/>
      </w:pPr>
      <w:r>
        <w:t>Regeste</w:t>
      </w:r>
    </w:p>
    <w:p>
      <w:r>
        <w:t>Betrug und Urkundenfälschung | Strafgesetz</w:t>
      </w:r>
    </w:p>
    <w:p>
      <w:pPr>
        <w:pStyle w:val="Heading2"/>
      </w:pPr>
      <w:r>
        <w:t>Erwägungen</w:t>
      </w:r>
    </w:p>
    <w:p>
      <w:r>
        <w:rPr>
          <w:b/>
        </w:rPr>
        <w:t>E. 1</w:t>
      </w:r>
    </w:p>
    <w:p>
      <w:r>
        <w:t>Erstinstanzliches Urteil Mit Urteil vom 21. Dezember 2018 erklärte das Kantonale Wirtschaftsstrafgericht (Einzelgericht) A.________ (nachfolgend: Beschuldigter) schuldig des Betrugs zum Nachteil der C.________ AG (nachfolgend: Strafklägerin) im Deliktsbetrag von CHF 54‘000.00 und der mehrfachen Urkundenfälschung. Es verurteilte ihn zu einer Geldstrafe von 150 Tagessätzen zu CHF 50.00, ausmachend total CHF 7‘500.00. Der Vollzug der Geldstrafe wurde aufgeschoben und die Probezeit auf drei Jahre festgesetzt. Weiter wurde der Beschuldigte zur Bezahlung der erstinstanzlichen Verfahrenskosten von CHF 1‘900.00 verurteilt und es wurde die Entschädigung der amtlichen Verteidigung festgesetzt (pag. 18 135 ff.).</w:t>
      </w:r>
    </w:p>
    <w:p>
      <w:r>
        <w:rPr>
          <w:b/>
        </w:rPr>
        <w:t>E. 2</w:t>
      </w:r>
    </w:p>
    <w:p>
      <w:r>
        <w:t>Berufung Gegen dieses Urteil meldete der Beschuldigte, vertreten durch Rechtsanwalt B.________, am 31. Dezember 2018 fristgerecht die Berufung an (pag. 18 147). Nach Zustellung der schriftlichen Urteilsbegründung mit Verfügung der Vorinstanz vom 1. März 2018 (pag. 18 207 f.) erklärte Rechtsanwalt B.________ am 15. März 2019 form- und fristgerecht die vollumfängliche Berufung (pag. 18 217 ff.). Die Ge- neralstaatsanwaltschaft, vertreten durch Staatsanwalt D.________ von der Staats- anwaltschaft für Wirtschaftsdelikte, verzichtet mit Eingabe vom 27. März 2019 auf formelle Einwände, Anschlussberufung sowie auf Teilnahme am oberinstanzlichen Verfahren (pag. 18 225). Die Strafklägerin machte innert Frist keine Eingabe zur Berufung des Beschuldigten. Am 9. Juli 2019 teilte sie mit, dass sie nicht an der Berufungsverhandlung teilnehmen werde. Am 16. August 2019 fand in Anwesenheit des Beschuldigten und seines Verteidi- gers die Berufungsverhandlung vor der 1. Strafkammer statt (pag. 18 257 ff.).</w:t>
      </w:r>
    </w:p>
    <w:p>
      <w:r>
        <w:rPr>
          <w:b/>
        </w:rPr>
        <w:t>E. 3</w:t>
      </w:r>
    </w:p>
    <w:p>
      <w:r>
        <w:t>Anträge der Verteidigung Rechtsanwalt B.________ stellte und begründete anlässlich der Berufungsver- handlung vom 16. August 2019 namens und im Auftrag des Beschuldigten folgen- de Anträge: Der Beschuldigte A.________ sei freizusprechen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