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BE_ZIVILSTRAF SK 2019 74 vom 7. Oktober 2020</w:t>
      </w:r>
    </w:p>
    <w:p>
      <w:r>
        <w:t>BE Obergericht, 2020-10-07, DE</w:t>
      </w:r>
    </w:p>
    <w:p>
      <w:r>
        <w:rPr>
          <w:b/>
        </w:rPr>
        <w:t xml:space="preserve">Quelle: </w:t>
      </w:r>
      <w:r>
        <w:t>https://mcp.opencaselaw.ch/entscheid/be_zivilstraf_SK_2019_74</w:t>
      </w:r>
    </w:p>
    <w:p>
      <w:r>
        <w:t>FR: BE_ZIVILSTRAF SK 2019 74 du 7 octobre 2020</w:t>
      </w:r>
    </w:p>
    <w:p>
      <w:r>
        <w:t>IT: BE_ZIVILSTRAF SK 2019 74 del 7 ottobre 2020</w:t>
      </w:r>
    </w:p>
    <w:p>
      <w:pPr>
        <w:pStyle w:val="Heading2"/>
      </w:pPr>
      <w:r>
        <w:t>Regeste</w:t>
      </w:r>
    </w:p>
    <w:p>
      <w:r>
        <w:t>Betrug, Urkundenfälschung | Strafgesetz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Mai 2014 bis 31. Juli 2014 in Y.________(Ort) z.N. der K.________ AG und zu einem unbekannten Zeitpunkt im Zeitraum vom 1. Mai 2014 bis 31. Juli 2014 in Y.________(Ort) und AA.________(Ort) z.N. der L.________ AG (Versuch; vgl. B Ziffer II. 1.); der Urkundenfälschung, mehrfach begangen gemeinsam mit H.________ zu einem unbekannten Zeitpunkt im Zeitraum vom 1. Mai 2014 bis 31. Juli 2014 in Y.________(Ort) und andernorts z.N. der C.________ AG, zu einem unbekannten Zeitpunkt im Zeitraum vom 12. Juni 2014 bis 31. Juli 2014 in Y.________(Ort) und andernorts z.N. der D.________ AG sowie zu einem unbekannten Zeitpunkt im Zeitraum von 1. Mai 2014 bis 31. Juli 2014 in Y.________(Ort) und andernorts z.N. der M.________ (vgl. B Ziffer II. 2.); der groben Verkehrsregelverletzung begangen am 29. Dezember 2016 in AB.________(Ort) durch Führen eines Fahrzeugs mit vereisten / angelaufenen Front- und Seitenscheiben (vgl. B Ziffer II. 3). A.________ wurde aufgrund dieser Schuldsprüche zu einer Freiheitsstrafe von 10 Monaten verurteilt, der Vollzug der Freiheitsstrafe wurde aufgeschoben und die Probezeit auf 3 Jahre festgesetzt. Weiter wurde er zu einer Verbindungsbusse von CHF 5‘250.00 verurteilt, wobei die Ersatzfreiheitsstrafe bei schuldhafter Nichtbe- zahlung auf 75 Tage festgesetzt wurde sowie zu den auf den Schuldspruch entfal- lenden anteilsmässigen Verfahrenskosten von 4/5 der ihn betreffenden Verfah- renskosten, bestimmt auf CHF 3‘730.40.</w:t>
      </w:r>
    </w:p>
    <w:p>
      <w:r>
        <w:rPr>
          <w:b/>
        </w:rPr>
        <w:t>E. 2</w:t>
      </w:r>
    </w:p>
    <w:p>
      <w:r>
        <w:t>Berufung A.________ (nachfolgend: Beschuldigter), vertreten durch Fürsprecher B.________, meldete am 27. Februar 2018 form- und fristgerecht Berufung gegen vorerwähntes Urteil an (pag. 692). Er beantragte für das Verfahren vor oberer In- stanz die Beiordnung von Fürsprecher B.________ als amtlichen Verteidiger. Die schriftliche Urteilsbegründung wurde dem Beschuldigten mit Verfügung vom</w:t>
      </w:r>
    </w:p>
    <w:p>
      <w:r>
        <w:rPr>
          <w:b/>
        </w:rPr>
        <w:t>E. 4</w:t>
      </w:r>
    </w:p>
    <w:p>
      <w:r>
        <w:t>Beweisergänzungen Von Amtes wegen wurden in oberer Instanz ein aktueller Strafregisterauszug (da- tierend vom 3. Juni 2019, pag. 878) sowie ein aktueller Leumundsbericht (inkl. wirt- schaftliche Verhältnisse; datierend vom 31. Mai und 7. Juni 2019, pag. 873 ff. und 980 ff.) über den Beschuldigten eingeholt (pag. 869).</w:t>
      </w:r>
    </w:p>
    <w:p>
      <w:r>
        <w:rPr>
          <w:b/>
        </w:rPr>
        <w:t>E. 5</w:t>
      </w:r>
    </w:p>
    <w:p>
      <w:r>
        <w:t>Anträge der Parteien In seiner Berufungserklärung stellte Fürsprecher B.________ folgende Anträge (pag. 842 ff.): «I. A.________, sei freizusprechen von den Vorwürfen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