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59 vom 5. Februar 2020</w:t>
      </w:r>
    </w:p>
    <w:p>
      <w:r>
        <w:t>BE Obergericht, 2020-02-05, DE</w:t>
      </w:r>
    </w:p>
    <w:p>
      <w:r>
        <w:rPr>
          <w:b/>
        </w:rPr>
        <w:t xml:space="preserve">Quelle: </w:t>
      </w:r>
      <w:r>
        <w:t>https://mcp.opencaselaw.ch/entscheid/be_zivilstraf_SK_2019_59</w:t>
      </w:r>
    </w:p>
    <w:p>
      <w:r>
        <w:t>FR: BE_ZIVILSTRAF SK 2019 59 du 5 février 2020</w:t>
      </w:r>
    </w:p>
    <w:p>
      <w:r>
        <w:t>IT: BE_ZIVILSTRAF SK 2019 59 del 5 febbraio 2020</w:t>
      </w:r>
    </w:p>
    <w:p>
      <w:pPr>
        <w:pStyle w:val="Heading2"/>
      </w:pPr>
      <w:r>
        <w:t>Regeste</w:t>
      </w:r>
    </w:p>
    <w:p>
      <w:r>
        <w:t>Sachbeschädigung und Widerhandlung gegen das Betäubungsmittelgesetz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Sachbeschädigung, mehrfach begangen</w:t>
      </w:r>
    </w:p>
    <w:p>
      <w:r>
        <w:rPr>
          <w:b/>
        </w:rPr>
        <w:t>E. 1.1</w:t>
      </w:r>
    </w:p>
    <w:p>
      <w:r>
        <w:t>zu einem unbekannten Zeitpunkt vor dem 23.01.2016 an einem unbekannten Ort</w:t>
      </w:r>
    </w:p>
    <w:p>
      <w:r>
        <w:rPr>
          <w:b/>
        </w:rPr>
        <w:t>E. 1.2</w:t>
      </w:r>
    </w:p>
    <w:p>
      <w:r>
        <w:t>am 04.02.2016 in D.________, E.________ (Strasse) Nr. 43 und E.________ (Strasse) Nr. 12</w:t>
      </w:r>
    </w:p>
    <w:p>
      <w:r>
        <w:rPr>
          <w:b/>
        </w:rPr>
        <w:t>E. 2</w:t>
      </w:r>
    </w:p>
    <w:p>
      <w:r>
        <w:t>wegen Widerhandlung gegen das Betäubungsmittelgesetz (Konsum einer unbestimmten Men- ge Marihuana), begangen bzw. festgestellt am 04.02.2016 in D.________ und in Anwendung der Art. 34 f., 47, 49 Abs. 1, 106 und 144 Abs. 1 StGB Art. 426 ff. und 433 StPO Art. 19a BetmG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