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2019 454 vom 18. Januar 2021</w:t>
      </w:r>
    </w:p>
    <w:p>
      <w:r>
        <w:t>BE Obergericht, 2021-01-18, DE</w:t>
      </w:r>
    </w:p>
    <w:p>
      <w:r>
        <w:rPr>
          <w:b/>
        </w:rPr>
        <w:t xml:space="preserve">Quelle: </w:t>
      </w:r>
      <w:r>
        <w:t>https://mcp.opencaselaw.ch/entscheid/be_zivilstraf_SK_2019_454</w:t>
      </w:r>
    </w:p>
    <w:p>
      <w:r>
        <w:t>FR: BE_ZIVILSTRAF SK 2019 454 du 18 janvier 2021</w:t>
      </w:r>
    </w:p>
    <w:p>
      <w:r>
        <w:t>IT: BE_ZIVILSTRAF SK 2019 454 del 18 gennaio 2021</w:t>
      </w:r>
    </w:p>
    <w:p>
      <w:pPr>
        <w:pStyle w:val="Heading2"/>
      </w:pPr>
      <w:r>
        <w:t>Regeste</w:t>
      </w:r>
    </w:p>
    <w:p>
      <w:r>
        <w:t>Sachbeschädigung, versuchte Nötigung, Sachentziehung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Mit Urteil des Regionalgerichts Bern-Mittelland (Einzelgericht; nachfolgend: Vorin- stanz) vom 12. November 2019 wurde A.________ (nachfolgend: Beschuldigter) freigesprochen von der Anschuldigung der Sachbeschädigung und der versuchten Nötigung, beides angeblich begangen am 25. August 2017 in E.________, unter Auferlegung der anteilsmässigen Verfahrenskosten (2/3) an den Kanton Bern. Hin- gegen wurde er schuldig erklärt der Sachentziehung, begangen am 25. August 2017 in E.________ und deswegen verurteilt zu einer Geldstrafe von zehn Tages- sätzen zu CHF 30.00, ausmachend total CHF 300.00, wobei der Vollzug der Gelds- trafe aufgeschoben und die Probezeit auf zwei Jahre festgesetzt wurde. Weiter wurde er zur Bezahlung von 1/3 der Verfahrenskosten verurteilt. Zudem wurde er zur Bezahlung einer Pauschalgebühr von CHF 3'500.00 an die Privaklägerin C.________ (nachfolgend: Privatklägerin) für deren Aufwendungen im Verfahren verurteilt (Art. 433 Abs. 1 StPO). Die Zivilklage der Privatklägerin wurde auf den Zi- vilweg verwiesen (pag. 388 ff.).</w:t>
      </w:r>
    </w:p>
    <w:p>
      <w:r>
        <w:rPr>
          <w:b/>
        </w:rPr>
        <w:t>E. 2</w:t>
      </w:r>
    </w:p>
    <w:p>
      <w:r>
        <w:t>Erstinstanzliches Verfahren Betreffend den Gang des vorinstanzlichen Verfahrens kann auf die Ausführungen der Vorinstanz verwiesen werden (pag. 419, S. 2 f. der vorinstanzlichen Erwägun- gen):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