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42 vom 22. Oktober 2019</w:t>
      </w:r>
    </w:p>
    <w:p>
      <w:r>
        <w:t>BE Obergericht, 2019-10-22, DE</w:t>
      </w:r>
    </w:p>
    <w:p>
      <w:r>
        <w:rPr>
          <w:b/>
        </w:rPr>
        <w:t xml:space="preserve">Quelle: </w:t>
      </w:r>
      <w:r>
        <w:t>https://mcp.opencaselaw.ch/entscheid/be_zivilstraf_SK_2019_42</w:t>
      </w:r>
    </w:p>
    <w:p>
      <w:r>
        <w:t>FR: BE_ZIVILSTRAF SK 2019 42 du 22 octobre 2019</w:t>
      </w:r>
    </w:p>
    <w:p>
      <w:r>
        <w:t>IT: BE_ZIVILSTRAF SK 2019 42 del 22 ottobre 2019</w:t>
      </w:r>
    </w:p>
    <w:p>
      <w:pPr>
        <w:pStyle w:val="Heading2"/>
      </w:pPr>
      <w:r>
        <w:t>Regeste</w:t>
      </w:r>
    </w:p>
    <w:p>
      <w:r>
        <w:t>Sachentziehung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2. November 2018 sprach das Regionalgericht Berner Jura-Seeland (Einzelgericht) A.________ (nachfolgend: Beschuldigter) schuldig der Sachentzie- hung, begangen zwischen dem 12. August und 8. November 2016 in P.________, z.N. der C.________ AG in Liquidation, und verurteilte ihn in Anwendung der ein- schlägigen Gesetzesbestimmungen zu einer Geldstrafe von 12 Tagessätzen zu je CHF 180.00, insgesamt ausmachend CHF 2‘160.00, wobei der Vollzug der Gelds- trafe aufgeschoben und die Probezeit auf 2 Jahre festgesetzt wurde (Ziff. I.1 des erstinstanzlichen Urteildispositivs), zu einer Verbindungsbusse von CHF 540.00, wobei die Ersatzfreiheitsstrafe bei schuldhafter Nichtbezahlung auf 3 Tage festge- setzt wurde (Ziff. I.2 des erstinstanzlichen Urteildispositivs), zu den Verfahrenskos- ten von CHF 2‘600.00 (Ziff. I.3 des erstinstanzlichen Urteildispositivs) sowie zur Bezahlung einer Entschädigung an die Straf- und Zivilklägerin C.________ AG in Liquidation (nachfolgend: Privatklägerin) von CHF 8‘400.60 (Ziff. I.4 des erstin- stanzlichen Urteildispositivs).</w:t>
      </w:r>
    </w:p>
    <w:p>
      <w:r>
        <w:rPr>
          <w:b/>
        </w:rPr>
        <w:t>E. 2</w:t>
      </w:r>
    </w:p>
    <w:p>
      <w:r>
        <w:t>Berufung Gegen dieses Urteil meldete Rechtsanwalt B.________ namens und im Auftrag des Beschuldigten mit Schreiben vom 9. November 2018 Berufung an (pag. 519). Die erstinstanzliche Urteilsbegründung datiert vom 24. Januar 2019. Die Beru- fungserklärung des Beschuldigten ging form- und fristgerecht am 18. Februar 2019 beim Obergericht des Kantons Bern ein (pag. 561). Rechtsanwalt D.________ teilte mit Schreiben vom 5. März 2019 mit, dass er we- der Anschlussberufung erklärt noch Nichteintreten auf die Berufung des Beschul- digten beantragt (pag. 568). Die Generalstaatsanwaltschaft teilte in ihrer Eingabe vom 5. März 2019 mit, dass sie auf die Teilnahme am oberinstanzlichen Verfahren verzichtet (pag. 570 f.).</w:t>
      </w:r>
    </w:p>
    <w:p>
      <w:r>
        <w:rPr>
          <w:b/>
        </w:rPr>
        <w:t>E. 3</w:t>
      </w:r>
    </w:p>
    <w:p>
      <w:r>
        <w:t>Oberinstanzliche Beweisergänzungen Im Hinblick auf die oberinstanzliche Berufungsverhandlung wurden von Amtes we- gen ein Strafregisterauszug (datierend vom 12. September 2019, pag. 593 f.) sowie ein Erhebungsbericht (datierend vom 28. August 2019, pag. 598 f.) über den Be- schuldigten eingeholt. Zudem wurden E.________ (pag. 605 Z. 1 ff.) und der Beschuldigte (pag. 609 Z. 161 ff.) an der oberinstanzlichen Berufungsverhandlung erneut einvernommen.</w:t>
      </w:r>
    </w:p>
    <w:p>
      <w:r>
        <w:rPr>
          <w:b/>
        </w:rPr>
        <w:t>E. 4</w:t>
      </w:r>
    </w:p>
    <w:p>
      <w:r>
        <w:t>Anträge der Parteien Rechtsanwalt B.________ stellte und begründete anlässlich der oberinstanzlichen Berufungsverhandlung folgende Anträge:</w:t>
      </w:r>
    </w:p>
    <w:p>
      <w:r>
        <w:t>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