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367 vom 23. Juni 2020</w:t>
      </w:r>
    </w:p>
    <w:p>
      <w:r>
        <w:t>BE Obergericht, 2020-06-23, DE</w:t>
      </w:r>
    </w:p>
    <w:p>
      <w:r>
        <w:rPr>
          <w:b/>
        </w:rPr>
        <w:t xml:space="preserve">Quelle: </w:t>
      </w:r>
      <w:r>
        <w:t>https://mcp.opencaselaw.ch/entscheid/be_zivilstraf_SK_2019_367</w:t>
      </w:r>
    </w:p>
    <w:p>
      <w:r>
        <w:t>FR: BE_ZIVILSTRAF SK 2019 367 du 23 juin 2020</w:t>
      </w:r>
    </w:p>
    <w:p>
      <w:r>
        <w:t>IT: BE_ZIVILSTRAF SK 2019 367 del 23 giugno 2020</w:t>
      </w:r>
    </w:p>
    <w:p>
      <w:pPr>
        <w:pStyle w:val="Heading2"/>
      </w:pPr>
      <w:r>
        <w:t>Regeste</w:t>
      </w:r>
    </w:p>
    <w:p>
      <w:r>
        <w:t>20191217_161356_ANOM.docx | Sicherheitsdirektion (SID)</w:t>
      </w:r>
    </w:p>
    <w:p>
      <w:pPr>
        <w:pStyle w:val="Heading2"/>
      </w:pPr>
      <w:r>
        <w:t>Erwägungen</w:t>
      </w:r>
    </w:p>
    <w:p>
      <w:r>
        <w:rPr>
          <w:b/>
        </w:rPr>
        <w:t>E. 1</w:t>
      </w:r>
    </w:p>
    <w:p>
      <w:r>
        <w:t>Mit Urteil des Obergerichts des Kantons Bern vom 31. Juli 2012 wurde A.________ (Verurteilter/Beschwerdeführer, nachfolgend Beschwerdeführer) wegen Mordes, Raubes, bandenmässig und unter Offenbarung besonderer Gefährlichkeit, banden- und gewerbsmässigen Diebstahls, Diebstahls, mehrfacher Fälschung von Auswei- sen, Widerhandlung gegen das Ausländergesetz durch Förderung des rechtswidri- gen Aufenthaltes und Beschäftigung seiner Schwester in der Schweiz zu einer Freiheitsstrafe von 15 Jahren verurteilt, teilweise als Zusatzstrafe zu den Urteilen der Staatsanwaltschaft Solothurn vom 16. Februar 2006, des Untersuchungsrich- teramtes I Berner Jura-Seeland vom 29. November 2007 und des Bezirksamtes Zofingen vom 3. September 2008 sowie unter Anrechnung von 1‘163 Tagen Unter- suchungs- und Sicherheitshaft (vgl. amtliche Akten der Bewährungs- und Vollzugs- dienste des Amts für Justizvollzug des Kantons Bern [nachfolgend BVD] pag. 165 f.). Auf die gegen dieses Urteil erhobene Beschwerde trat das Bundesge- richt mit Urteil vom 27. Mai 2013 nicht ein. Das gegen das Urteil des Obergerichts des Kantons Bern vom 31. Juli 2012 gerichtete Revisionsgesuch des Beschwerde- führers vom 23. September 2016 (vgl. amtliche Akten BVD pag. 745 ff.) wies das Obergericht mit Beschluss vom 20. Dezember 2016 ab (vgl. amtliche Akten der BVD, pag. 466). Das Bundesgericht wies die gegen den Beschluss erhobene Be- schwerde mit Urteil vom 31. Mai 2017 ab, soweit es darauf eintrat (vgl. amtliche Ak- ten BVD, pag. 487). Am 24. Mai 2019 hatte der Beschwerdeführer zwei Drittel der auferlegten Freiheits- strafe verbüsst (vgl. amtliche Akten der BVD, pag. 809).</w:t>
      </w:r>
    </w:p>
    <w:p>
      <w:r>
        <w:rPr>
          <w:b/>
        </w:rPr>
        <w:t>E. 2</w:t>
      </w:r>
    </w:p>
    <w:p>
      <w:r>
        <w:t>Mit Verfügung vom 21. Mai 2019 verweigerten die BVD die bedingte Entlassung des Beschwerdeführers auf den Zweidritteltermin am 24. Mai 2019 (vgl. amtliche Akten der Sicherheitsdirektion des Kantons Bern [nachfolgend SID; vormals Poli- zei- und Militärdirektion des Kantons Bern, POM], pag. 1 ff., 11 f.).</w:t>
      </w:r>
    </w:p>
    <w:p>
      <w:r>
        <w:rPr>
          <w:b/>
        </w:rPr>
        <w:t>E. 3</w:t>
      </w:r>
    </w:p>
    <w:p>
      <w:r>
        <w:t>währung der unentgeltlichen Rechtspflege ab. Dem Beschwerdeführer wurden die Verfahrenskosten von pauschal CHF 400.00 zur Bezahlung auferlegt, wobei keine Parteikosten gesprochen wurden (vgl. amtliche Akten der SID, pag. 62).</w:t>
      </w:r>
    </w:p>
    <w:p>
      <w:r>
        <w:rPr>
          <w:b/>
        </w:rPr>
        <w:t>E. 4</w:t>
      </w:r>
    </w:p>
    <w:p>
      <w:r>
        <w:t>Am 23. September 2019 erhob der Beschwerdeführer, weiterhin vertreten durch Rechtsanwalt B.________, beim Obergericht des Kantons Bern Beschwerde gegen den Entscheid der SID (nachfolgend Vorinstanz) vom 22. August 2019 und stellte folgende Anträge (vgl. amtliche Akten SK 19 367, pag.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