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318 vom 25. Juni 2020</w:t>
      </w:r>
    </w:p>
    <w:p>
      <w:r>
        <w:t>BE Obergericht, 2020-06-25, DE</w:t>
      </w:r>
    </w:p>
    <w:p>
      <w:r>
        <w:rPr>
          <w:b/>
        </w:rPr>
        <w:t xml:space="preserve">Quelle: </w:t>
      </w:r>
      <w:r>
        <w:t>https://mcp.opencaselaw.ch/entscheid/be_zivilstraf_SK_2019_318</w:t>
      </w:r>
    </w:p>
    <w:p>
      <w:r>
        <w:t>FR: BE_ZIVILSTRAF SK 2019 318 du 25 juin 2020</w:t>
      </w:r>
    </w:p>
    <w:p>
      <w:r>
        <w:t>IT: BE_ZIVILSTRAF SK 2019 318 del 25 giugno 2020</w:t>
      </w:r>
    </w:p>
    <w:p>
      <w:pPr>
        <w:pStyle w:val="Heading2"/>
      </w:pPr>
      <w:r>
        <w:t>Regeste</w:t>
      </w:r>
    </w:p>
    <w:p>
      <w:r>
        <w:t>Betrügerischer Konkurs und Urkundenfälschung | Strafgesetz</w:t>
      </w:r>
    </w:p>
    <w:p>
      <w:pPr>
        <w:pStyle w:val="Heading2"/>
      </w:pPr>
      <w:r>
        <w:t>Erwägungen</w:t>
      </w:r>
    </w:p>
    <w:p>
      <w:r>
        <w:rPr>
          <w:b/>
        </w:rPr>
        <w:t>E. 1</w:t>
      </w:r>
    </w:p>
    <w:p>
      <w:r>
        <w:t>Erstinstanzliches Urteil Mit Urteil des Regionalgerichts Oberland (Einzelgericht) vom 15. April 2019 (Bd. VII, pag. 268 ff.) wurde A.________ (nachfolgend: Beschuldigter) des betrügeri- schen Konkurses und der Urkundefälschung schuldig erklärt. Hierfür wurde der Be- schuldigte zu einer Geldstrafe von 120 Tagessätzen à CHF 20.00, ausmachend to- tal CHF 2‘400.00, als Zusatzstrafe zum Urteil des Gerichtskreises X Thun vom 24. November 2009 und zum Strafbefehl der Regionalen Staatsanwaltschaft Ober- land vom 30. März 2015 verurteilt. Der Vollzug dieser Geldstrafe wurde aufgescho- ben und die Probezeit auf zwei Jahre festgelegt. Weiter verurteilte die Vorinstanz den Beschuldigten zu einer Verbindungsbusse in der Höhe von CHF 600.00, wobei die Ersatzfreiheitsstrafe bei schuldhafter Nichtbezahlung auf 30 Tage festgesetzt wurde. Weiter wurden dem Beschuldigten die Verfahrenskosten, insgesamt be- stimmt auf CHF 6‘455.00, auferlegt. Die Vorinstanz verurteilte den Beschuldigten sodann zur Bezahlung einer Parteientschädigung an die C.________ (nachfolgend: Straf- und Zivilklägerin), in der Höhe von CHF 18‘289.40. Die restanzliche amtliche Entschädigung für die amtliche Verteidigung des Beschuldigten durch Fürsprecher B.________ im Verfahren PEN 15 336 wurde auf CHF 3‘286.45 bestimmt. Der Be- schuldigte wurde verpflichtet, dem Kanton die ausgerichtete amtliche Entschädi- gung zurückzuzahlen und Fürsprecher B.________ die Differenz von CHF 626.40 zwischen der amtlichen Entschädigung und dem vollen Honorar zu erstatten, so- bald es seine wirtschaftlichen Verhältnisse erlauben. Die amtliche Entschädigung für die amtliche Verteidigung des Beschuldigten durch Rechtsanwalt B.________ ab der Kassation im Verfahren PEN 17 419 (inkl. Ausstandsverfahren) wurde auf CHF 10‘425.35 bestimmt. Der Beschuldigte wurde wiederum verpflichtet, dem Kan- ton die ausgerichtete amtliche Entschädigung zurückzuzahlen und Fürsprecher B.________ die Differenz von CHF 2‘504.05 zwischen der amtlichen Entschädi- gung und dem vollen Honorar zu erstatten, sobald es seine wirtschaftlichen Ver- hältnisse erlauben. Im Zivilpunkt wurde verfügt, dass die Zivilklage der Straf- und Zivilklägerin zur Beurteilung der Zivilforderungen auf den Zivilweg verwiesen wird, wobei für die Beurteilung des Zivilpunkts keine Kosten ausgeschieden wurden. Die Vorinstanz hat sodann unter Ziffer IV. eine weitere Verfügung getroffen (Rückgabe Bundesordner an E.________).</w:t>
      </w:r>
    </w:p>
    <w:p>
      <w:r>
        <w:rPr>
          <w:b/>
        </w:rPr>
        <w:t>E. 2</w:t>
      </w:r>
    </w:p>
    <w:p>
      <w:r>
        <w:t>Berufung Gegen dieses Urteil meldete der Beschuldigte, amtlich verteidigt durch Fürsprecher B.________, mit Eingabe vom 25. April 2019 fristgerecht die Berufung an (Bd. VII, pag. 280 f.). Die schriftliche Urteilsbegründung des Regionalgerichts Oberland da- tiert vom 9. August 2019 (Bd. VII, pag. 291 ff.). Diese wurden den Parteien mit Ver- fügung vom 9. August 2019 zugestellt (Bd. VIII, pag. 326 f.). Am 2. Septem- ber 2019 reichte der Beschuldigte form- und fristgerecht die Berufungserklärung ein (Bd. VIII, pag. 333 ff.). Die Berufung bezieht sich auf sämtliche Schuldsprüche, die</w:t>
      </w:r>
    </w:p>
    <w:p>
      <w:r>
        <w:rPr>
          <w:b/>
        </w:rPr>
        <w:t>E. 3</w:t>
      </w:r>
    </w:p>
    <w:p>
      <w:r>
        <w:t>damit zusammenhängenden Sanktionen und Kostenfolgen sowie auf den Zivil- punkt. Mit Verfügung vom 4. September 2019 wurde von der Berufungserklärung Kenntnis genommen und gegeben. Gleichzeitig wurde der Straf- und Zivilklägerin sowie der Generalstaatsanwaltschaft Gelegenheit eingeräumt, innert angesetzter Frist von 20 Tagen Anschlussberufung zu erklären oder begründet ein Nichteintre- ten auf die Berufung zu beantragen (Bd. VIII, pag. 338 f.). Mit Schreiben vom 19. September 2019 teilte die Straf- und Zivilklägerin mit, dass sie keine Anschlussbe- rufung erkläre und kein Nichteintreten auf die Berufung beantrage (Bd. VIII, pag. 342). Am 20. September 2019 teilte die Generalstaatsanwaltschaft mit, dass sie auf die Teilnahme am oberinstanzlichen Verfahren verzichte (Bd. VIII, pag. 344 f.). Mit Verfügung vom 20. September 2019 wurde von den Eingaben der Straf- und Zivilklägerin und der Generalstaatsanwaltschaft Kenntnis genommen und gegeben. Gleichzeitig wurden der Beschuldigte und die Straf- und Zivilklägerin aufgefordert, innert angesetzter Frist von 14 Tagen mitzuteilen, ob sie mit der Durchführung ei- nes schriftlichen Verfahrens einverstanden sind (Bd. VIII, pag. 346 f.). Am 24. Sep- tember 2019 teilte die Straf- und Zivilklägerin der Verfahrensleitung mit, dass sie mit der Durchführung eines schriftlichen Verfahrens einverstanden sei (Bd. VIII, pag. 350). Hingegen beantragte der Beschuldigte mit Eingabe vom 7. Okto- ber 2019 die Durchführung eines mündlichen Verfahrens (Bd. VIII, pag. 352). Mit Verfügung vom 10. Oktober 2019 wurde von den Eingaben der Straf- und Zivilklä- gerin und des Beschuldigten Kenntnis genommen und gegeben und die Ansetzung der Hauptverhandlung in Absprache mit den Parteien in Aussicht gestellt (Bd. VIII, pag. 354 f.). Die Vorladung zur Hauptverhandlung datiert vom 28. Oktober 2019 (Bd. VIII, pag. 364 f.). Mit Verfügung vom 13. November 2019 wurde den Parteien die Zusammensetzung des Gerichts bekanntgegeben (Bd. VIII, pag. 367 f.). Die Straf- und Zivilklägerin verzichtete mit Eingabe vom 17. Juni 2020 auf die Teilnah- me an der Berufungsverhandlung und auf das Stellen von Anträgen (Bd. VIII, pag. 375). Von dieser Eingabe nahm und gab die Verfahrensleitung mit Verfügung vom 18. Juni 2020 Kenntnis (Bd. VIII, pag. 377 f.). Die Berufungsverhandlung vor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