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271 vom 10. September 2019</w:t>
      </w:r>
    </w:p>
    <w:p>
      <w:r>
        <w:t>BE Obergericht, 2019-09-10, DE</w:t>
      </w:r>
    </w:p>
    <w:p>
      <w:r>
        <w:rPr>
          <w:b/>
        </w:rPr>
        <w:t xml:space="preserve">Quelle: </w:t>
      </w:r>
      <w:r>
        <w:t>https://mcp.opencaselaw.ch/entscheid/be_zivilstraf_SK_2019_271</w:t>
      </w:r>
    </w:p>
    <w:p>
      <w:r>
        <w:t>FR: BE_ZIVILSTRAF SK 2019 271 du 10 septembre 2019</w:t>
      </w:r>
    </w:p>
    <w:p>
      <w:r>
        <w:t>IT: BE_ZIVILSTRAF SK 2019 271 del 10 settembre 2019</w:t>
      </w:r>
    </w:p>
    <w:p>
      <w:pPr>
        <w:pStyle w:val="Heading2"/>
      </w:pPr>
      <w:r>
        <w:t>Regeste</w:t>
      </w:r>
    </w:p>
    <w:p>
      <w:r>
        <w:t>Revisionsgesuch gegen das Urteil des Regionalgerichts Bern-Mittelland | Strafgesetz</w:t>
      </w:r>
    </w:p>
    <w:p>
      <w:pPr>
        <w:pStyle w:val="Heading2"/>
      </w:pPr>
      <w:r>
        <w:t>Erwägungen</w:t>
      </w:r>
    </w:p>
    <w:p>
      <w:r>
        <w:rPr>
          <w:b/>
        </w:rPr>
        <w:t>E. 1</w:t>
      </w:r>
    </w:p>
    <w:p>
      <w:r>
        <w:t>Mit Urteil vom 3. Mai 2018 verurteilte das Regionalgericht Bern-Mittelland (nachfol- gend: Regionalgericht) A.________ (nachfolgend: Gesuchsteller) wegen Raubes, Diebstahls, Hausfriedensbruchs, mehrfach begangener Widerhandlungen gegen das Ausländergesetz durch Missachten einer Ausgrenzungsverfügung und mehr- fach begangener Widerhandlungen gegen das Betäubungsmittelgesetz zu einer Freiheitsstrafe von 24 Monaten. Die ausgestandene Haft von insgesamt 60 Tagen wurde vollumfänglich auf die Freiheitsstrafe angerechnet. Der Vollzug der Frei- heitsstrafe wurde weiter aufgeschoben und die Probezeit auf drei Jahre festgesetzt. Zudem wurde der Gesuchsteller zu einer Übertretungsbusse von CHF 400.00 ver- urteilt und es wurde eine Landesverweisung von fünf Jahren ausgesprochen. Die auf die Schuldsprüche entfallenden Verfahrenskosten wurden dem Gesuchsteller auferlegt (vgl. zum Ganzen pag. 17 ff.). Das Urteil blieb unangefochten und er- wuchs in Rechtskraft.</w:t>
      </w:r>
    </w:p>
    <w:p>
      <w:r>
        <w:rPr>
          <w:b/>
        </w:rPr>
        <w:t>E. 2</w:t>
      </w:r>
    </w:p>
    <w:p>
      <w:r>
        <w:t>Der unterzeichnende Anwalt sei dem Gesuchsteller für das Revisionsverfahren als amtlicher Verteidiger beizuordnen. - unter Kosten- und Entschädigungsfolge -</w:t>
      </w:r>
    </w:p>
    <w:p>
      <w:r>
        <w:rPr>
          <w:b/>
        </w:rPr>
        <w:t>E. 3</w:t>
      </w:r>
    </w:p>
    <w:p>
      <w:r>
        <w:t>Die Gesuche wurden von Beginn an getrennt an die Hand genommen und in zwei separaten Verfahrensdossiers (SK 19 270 [betreffend Strafbefehl vom 14. Septem- ber 2017] und SK 19 271 [betreffend Urteil vom 3. Mai 2018]) geführt. Mit Verfü- gung vom 4. Juli 2019 edierte die 2. Strafkammer beim Regionalgericht die amtli- chen Akten des mit Urteil vom 3. Mai 2018 erledigten Strafverfahrens PEN 17 524 (pag. 123 f.).</w:t>
      </w:r>
    </w:p>
    <w:p>
      <w:r>
        <w:rPr>
          <w:b/>
        </w:rPr>
        <w:t>E. 4</w:t>
      </w:r>
    </w:p>
    <w:p>
      <w:r>
        <w:t>Mit Schreiben vom 15. Juli 2019 verzichtete das Regionalgericht auf eine Stellung- nahme zum Revisionsgesuch (pag. 145). Die Generalstaatsanwaltschaft schloss sich dem Revisionsgesuch mit Eingabe vom 31. Juli 2019 fristgerecht an und beantragte, dieses sei gutzuheissen, das Ur- teil vom 3. Mai 2018 sei aufzuheben und die Sache sei zur neuen Behandlung und Beurteilung bzw. zur Klärung des Gerichtsstandes an die Staatsanwaltschaft zurückzuweisen. Die Verfahrenskosten seien dem Kanton aufzuerlegen (pag. 149 ff.). 3</w:t>
      </w:r>
    </w:p>
    <w:p>
      <w:r>
        <w:rPr>
          <w:b/>
        </w:rPr>
        <w:t>E. 5</w:t>
      </w:r>
    </w:p>
    <w:p>
      <w:r>
        <w:t>Der Gesuchsteller verzichtete mit Schreiben vom 5. August 2019 auf die Einrei- chung allfälliger Gegenbemerkungen zur Stellungnahme der Generalstaatsanwalt- schaft (pag. 161).</w:t>
      </w:r>
    </w:p>
    <w:p>
      <w:r>
        <w:rPr>
          <w:b/>
        </w:rPr>
        <w:t>E. 6</w:t>
      </w:r>
    </w:p>
    <w:p>
      <w:r>
        <w:t>Mit dem rechtskräftigen Urteil des Regionalgerichts liegt gemäss Art. 410 Abs. 1 der Strafprozessordnung (StPO; SR 312.0) ein revisionsfähiger Entscheid vor. Die Kammer ist als Berufungsgericht für die Beurteilung der Revision zuständig (Art. 21 Abs. 1 Bst. b und Art. 411 Abs. 1 StPO). Als direkt vom Urteil betroffene Person ist der Gesuchsteller zur Ergreifung des Rechtsmittels legitimiert (vgl. Art. 382 Abs. 1 StPO). Das vorliegende Gesuch ist nicht fristgebunden (Art. 411 Abs. 2 i.V.m. Art. 410 Abs. 1 Bst. a StPO). Auf das Gesuch ist einzutreten. II.</w:t>
      </w:r>
    </w:p>
    <w:p>
      <w:r>
        <w:rPr>
          <w:b/>
        </w:rPr>
        <w:t>E. 7</w:t>
      </w:r>
    </w:p>
    <w:p>
      <w:r>
        <w:t>Wer durch ein rechtskräftiges Urteil beschwert ist, kann gemäss Art. 410 Abs. 1 Bst.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(BGE 141 IV 93 E. 2.3; BGE 137 IV 59 E. 5.1.1). Neu sind Tatsachen und Beweismittel, wenn die urteilende Behörde im Zeitpunkt der Entscheidfällung keine Kenntnis von ihnen hatte, sie ihr also nicht in irgendei- ner Form unterbreitet wurden und sie damit nicht in den Entscheid eingeflossen sind (BGE 137 IV 59 E. 5.1.2; 130 IV 72 E. 1). Die Revision ist zuzulassen, wenn die Abänderung des früheren Urteils wahrscheinlich ist. Der Nachweis einer sol- chen Wahrscheinlichkeit darf nicht dadurch verunmöglicht werden, dass für die neue Tatsache ein Beweis verlangt wird, der jeden begründeten Zweifel aussch- liesst (Urteil des Bundesgerichts 6B_147/2018 vom 24. August 2018 E. 1.3).</w:t>
      </w:r>
    </w:p>
    <w:p>
      <w:r>
        <w:rPr>
          <w:b/>
        </w:rPr>
        <w:t>E. 8</w:t>
      </w:r>
    </w:p>
    <w:p>
      <w:r>
        <w:t>Der Gesuchsteller lässt das Revisionsgesuch im Wesentlichen wie folgt begründen (pag. 5 f., Hervorhebungen im Original):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