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2019 265 vom 10. Juni 2020</w:t>
      </w:r>
    </w:p>
    <w:p>
      <w:r>
        <w:t>BE Obergericht, 2020-06-10, DE</w:t>
      </w:r>
    </w:p>
    <w:p>
      <w:r>
        <w:rPr>
          <w:b/>
        </w:rPr>
        <w:t xml:space="preserve">Quelle: </w:t>
      </w:r>
      <w:r>
        <w:t>https://mcp.opencaselaw.ch/entscheid/be_zivilstraf_SK_2019_265</w:t>
      </w:r>
    </w:p>
    <w:p>
      <w:r>
        <w:t>FR: BE_ZIVILSTRAF SK 2019 265 du 10 juin 2020</w:t>
      </w:r>
    </w:p>
    <w:p>
      <w:r>
        <w:t>IT: BE_ZIVILSTRAF SK 2019 265 del 10 giugno 2020</w:t>
      </w:r>
    </w:p>
    <w:p>
      <w:pPr>
        <w:pStyle w:val="Heading2"/>
      </w:pPr>
      <w:r>
        <w:t>Regeste</w:t>
      </w:r>
    </w:p>
    <w:p>
      <w:r>
        <w:t>20200624_165834_ANOM.docx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Zu einer Freiheitsstrafe von 24 Monaten. Die Polizeihaft von 1 Tag wird vollumfänglich auf die Freiheitsstrafe angerechnet. Der Vollzug der Freiheitsstrafe wird aufgeschoben und die Probezeit auf 2 Jahre festgesetzt</w:t>
      </w:r>
    </w:p>
    <w:p>
      <w:r>
        <w:rPr>
          <w:b/>
        </w:rPr>
        <w:t>E. 2</w:t>
      </w:r>
    </w:p>
    <w:p>
      <w:r>
        <w:t>Es wird eine Landesverweisung von 7 Jahren ausgesprochen.</w:t>
      </w:r>
    </w:p>
    <w:p>
      <w:r>
        <w:rPr>
          <w:b/>
        </w:rPr>
        <w:t>E. 3</w:t>
      </w:r>
    </w:p>
    <w:p>
      <w:r>
        <w:t>Zu den auf seinen Teil entfallenden Verfahrenskosten, sich zusammensetzend aus Gebühren von Fr. 4'000.00 und Auslagen von Fr. 1'920.65, insgesamt bestimmt auf Fr. 5'920.65. [Kostentabelle] II. [Amtliche Entschädigung für Rechtsanwalt B.________] III. Weiter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