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514 vom 24. Oktober 2019</w:t>
      </w:r>
    </w:p>
    <w:p>
      <w:r>
        <w:t>BE Obergericht, 2019-10-24, DE</w:t>
      </w:r>
    </w:p>
    <w:p>
      <w:r>
        <w:rPr>
          <w:b/>
        </w:rPr>
        <w:t xml:space="preserve">Quelle: </w:t>
      </w:r>
      <w:r>
        <w:t>https://mcp.opencaselaw.ch/entscheid/be_zivilstraf_SK_2018_514</w:t>
      </w:r>
    </w:p>
    <w:p>
      <w:r>
        <w:t>FR: BE_ZIVILSTRAF SK 2018 514 du 24 octobre 2019</w:t>
      </w:r>
    </w:p>
    <w:p>
      <w:r>
        <w:t>IT: BE_ZIVILSTRAF SK 2018 514 del 24 ottobre 2019</w:t>
      </w:r>
    </w:p>
    <w:p>
      <w:pPr>
        <w:pStyle w:val="Heading2"/>
      </w:pPr>
      <w:r>
        <w:t>Regeste</w:t>
      </w:r>
    </w:p>
    <w:p>
      <w:r>
        <w:t>üble Nachrede, Widerhandlung gegen das BetmG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üblen Nachrede, begangen am 15.08.2017 in D.________ und E.________ zum Nachteil von B.________,</w:t>
      </w:r>
    </w:p>
    <w:p>
      <w:r>
        <w:rPr>
          <w:b/>
        </w:rPr>
        <w:t>E. 2</w:t>
      </w:r>
    </w:p>
    <w:p>
      <w:r>
        <w:t>Zu einer Übertretungsbusse von CHF 300.00. Die Ersatzfreiheitsstrafe bei schuldhafter Nichtbe- zahlung wird auf drei Tage festgesetzt.</w:t>
      </w:r>
    </w:p>
    <w:p>
      <w:r>
        <w:rPr>
          <w:b/>
        </w:rPr>
        <w:t>E. 3</w:t>
      </w:r>
    </w:p>
    <w:p>
      <w:r>
        <w:t>Wird keine schriftliche Begründung verlangt, reduziert sich die Gebühr um CHF 600.00. Die redu- zierten Verfahrenskosten betragen damit CHF 1‘030.00. III. Widerruf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