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489 vom 12. September 2018</w:t>
      </w:r>
    </w:p>
    <w:p>
      <w:r>
        <w:t>BE Obergericht, 2018-09-12, DE</w:t>
      </w:r>
    </w:p>
    <w:p>
      <w:r>
        <w:rPr>
          <w:b/>
        </w:rPr>
        <w:t xml:space="preserve">Quelle: </w:t>
      </w:r>
      <w:r>
        <w:t>https://mcp.opencaselaw.ch/entscheid/be_zivilstraf_SK_2018_489</w:t>
      </w:r>
    </w:p>
    <w:p>
      <w:r>
        <w:t>FR: BE_ZIVILSTRAF SK 2018 489 du 12 septembre 2018</w:t>
      </w:r>
    </w:p>
    <w:p>
      <w:r>
        <w:t>IT: BE_ZIVILSTRAF SK 2018 489 del 12 settembre 2018</w:t>
      </w:r>
    </w:p>
    <w:p>
      <w:pPr>
        <w:pStyle w:val="Heading2"/>
      </w:pPr>
      <w:r>
        <w:t>Regeste</w:t>
      </w:r>
    </w:p>
    <w:p>
      <w:r>
        <w:t>Grobe Verletzung der Verkehrsregeln (Rechtsüberholen bzw. Spurwechsel mit ungenügendem Abstand und ohne Anzeigen des Richtungswechsels) | Strassenverkehr</w:t>
      </w:r>
    </w:p>
    <w:p>
      <w:pPr>
        <w:pStyle w:val="Heading2"/>
      </w:pPr>
      <w:r>
        <w:t>Erwägungen</w:t>
      </w:r>
    </w:p>
    <w:p>
      <w:r>
        <w:rPr>
          <w:b/>
        </w:rPr>
        <w:t>E. 1</w:t>
      </w:r>
    </w:p>
    <w:p>
      <w:r>
        <w:t>Zu einer Geldstrafe von 12 Tagessätzen zu CHF 100.00, ausmachend total CHF 1‘200.00. Der Vollzug der Geldstrafe wird aufgeschoben und die Probezeit auf 2 Jahre festgesetzt.</w:t>
      </w:r>
    </w:p>
    <w:p>
      <w:r>
        <w:rPr>
          <w:b/>
        </w:rPr>
        <w:t>E. 2</w:t>
      </w:r>
    </w:p>
    <w:p>
      <w:r>
        <w:t>Zu einer Verbindungsbusse von CHF 500.00. Die Ersatzfreiheitsstrafe bei schuldhafter Nicht- bezahlung wird auf 3 Tage festgesetzt.</w:t>
      </w:r>
    </w:p>
    <w:p>
      <w:r>
        <w:rPr>
          <w:b/>
        </w:rPr>
        <w:t>E. 3</w:t>
      </w:r>
    </w:p>
    <w:p>
      <w:r>
        <w:t>Schriftliches Verfahren Gegenstand des vorliegenden Berufungsverfahrens ist das Urteil eines Einzelge- richts. Art. 406 Abs. 2 lit. b der Schweizerischen Strafprozessordnung vom 5. Okto- ber 2007 (StPO; SR 312.0) sieht für diesen Fall die Möglichkeit der Durchführung eines schriftlichen Verfahrens vor. Ein solches wurde von der Verfahrensleitung mit Verfügung vom 21. Dezember 2018 in Aussicht genommen (pag. 153 f.). Nachdem sich der Berufungsführer mit der Durchführung eines schriftlichen Beru- fungsverfahrens einverstanden erklärt hatte (pag. 156), reichte er – innert zweima- lig erstreckter Frist – am 8. März 2019 seine Berufungsbegründung ein (pag. 174 ff.). Praxisgemäss holte die Kammer von Amtes wegen einen Strafregisterauszug (da- tierend vom 21. Januar 2019, pag. 164) und einen ADMAS-Auszug (datierend vom 18. Januar 2019, pag. 162) des Berufungsführers ein.</w:t>
      </w:r>
    </w:p>
    <w:p>
      <w:r>
        <w:rPr>
          <w:b/>
        </w:rPr>
        <w:t>E. 4</w:t>
      </w:r>
    </w:p>
    <w:p>
      <w:r>
        <w:t>Anträge der Parteien In seiner Berufungsbegründung vom 8. März 2019 stellte der Berufungsführer die folgenden Anträge (pag. 175):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