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2018 436 vom 14. August 2019</w:t>
      </w:r>
    </w:p>
    <w:p>
      <w:r>
        <w:t>BE Obergericht, 2019-08-14, DE</w:t>
      </w:r>
    </w:p>
    <w:p>
      <w:r>
        <w:rPr>
          <w:b/>
        </w:rPr>
        <w:t xml:space="preserve">Quelle: </w:t>
      </w:r>
      <w:r>
        <w:t>https://mcp.opencaselaw.ch/entscheid/be_zivilstraf_SK_2018_436</w:t>
      </w:r>
    </w:p>
    <w:p>
      <w:r>
        <w:t>FR: BE_ZIVILSTRAF SK 2018 436 du 14 août 2019</w:t>
      </w:r>
    </w:p>
    <w:p>
      <w:r>
        <w:t>IT: BE_ZIVILSTRAF SK 2018 436 del 14 agosto 2019</w:t>
      </w:r>
    </w:p>
    <w:p>
      <w:pPr>
        <w:pStyle w:val="Heading2"/>
      </w:pPr>
      <w:r>
        <w:t>Regeste</w:t>
      </w:r>
    </w:p>
    <w:p>
      <w:r>
        <w:t>Raub, Sachbeschädigung, Hausfriedensbruch sowie Widerrufsverfahren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Raubes, unter Offenbarung von besonderer Gefährlichkeit, begangen gemeinsam mit C.________ am 12.10.2016, ca. 11.50 Uhr, in L.________, zum Nachteil von E.________ (De- liktsbetrag CHF 624.00);</w:t>
      </w:r>
    </w:p>
    <w:p>
      <w:r>
        <w:rPr>
          <w:b/>
        </w:rPr>
        <w:t>E. 2</w:t>
      </w:r>
    </w:p>
    <w:p>
      <w:r>
        <w:t>der Sachbeschädigung, begangen gemeinsam mit C.________ und F.________</w:t>
      </w:r>
    </w:p>
    <w:p>
      <w:r>
        <w:rPr>
          <w:b/>
        </w:rPr>
        <w:t>E. 3</w:t>
      </w:r>
    </w:p>
    <w:p>
      <w:r>
        <w:t>des Hausfriedensbruchs, begangen gemeinsam mit C.________ und F.________ am 12.10.2016, ca. 11.50 Uhr, in L.________, zum Nachteil von E.________ und in Anwendung der Artikel 30, 40, 43, 44, 46 Abs. 1, 47, 49 Abs. 1, 51, 66a Abs. 1 lit. c, 140 Ziff. 3 Abs. 3, 144 Abs. 1, 186 StGB; 426 Abs. 1 StPO verurteilt: 1. zu einer Freiheitsstrafe von 2 Jahren und 10 Monaten. Davon sind 12 Monate zu vollziehen. Für eine Teilstrafe von 22 Monaten wird der Vollzug auf- geschoben und die Probezeit auf 3 Jahre festgesetzt. Die Untersuchungshaft von 111 Tagen (14.12.2016 - 03.04.2017) wird im Umfang von 111 Ta- gen auf die zu vollziehende Teilstrafe angerechnet. Die durch das kantonale Zwangsmass- nahmengericht am 03.04.2017 angeordneten Ersatzmassnahmen (Verpflichtung, bei den El- tern zu wohnen, Arbeitsintegrationsprogramm, Bewährungshilfe, ambulante Therapie bei Dr. H.________, AA.________) wird im Umfang von 9 Tagen an die Freiheitsstrafe angerech- net; verbunden mit der Weisung, längstens während der Dauer der Probezeit, mindestens aber so- lange therapeutisch indiziert, die begonnene ambulante Therapie bei Dr. H.________, AA.________, oder einer anderen geeigneten Fachperson weiterzuführen sowie unter Anordnung der Bewährungshilfe; 2. zu den anteilsmässigen Verfahrenskosten, sich zusammensetzend aus den Gebühren der Voruntersuchung von total CHF 10‘490.45 (Gebühren von CHF 9‘723.75 und Auslagen von</w:t>
      </w:r>
    </w:p>
    <w:p>
      <w:r>
        <w:rPr>
          <w:b/>
        </w:rPr>
        <w:t>E. 6</w:t>
      </w:r>
    </w:p>
    <w:p>
      <w:r>
        <w:t>CHF 766.70), den Gebühren des Zwangsmassnahmegerichts für die Verlängerung der Er- satzmassnahmen von je CHF 400.00 (ARR 17 73, ARR 17 114), den Gebühren des Gerichts von CHF 2‘250.00 (25 %), sowie den Kosten für den Auftritt der Staatsanwaltschaft von CHF 625.00 (25 %), insgesamt bestimmt auf CHF 14‘165.45. 3. Es wird eine Landesverweisung von 5 Jahren ausgesprochen (Art. 66a Abs. 1 lit. c StGB). II. 1. Der A.________ mit Urteil der Staatsanwaltschaft des Kantons Bern, Emmental-Oberaargau vom 11.08.2016 für eine Geldstrafe 170 Tagessätzen zu CHF 30.00 gewährte bedingte Voll- zug wird nicht widerrufen. 2. Die Probezeit wird um 2 Jahre verlängert. 3. Die Verfahrenskosten für das Widerrufsverfahren von CHF 400.00 werden A.________ auf- erlegt. III. [Festsetzung der amtlichen Entschädigung von Rechtsanwalt B.________] IV. Betreffend Zivilpunkt wird in Anwendung von Art. 41 OR sowie Art. 126 StPO erkannt: 1. A.________, wird unter solidarischer Haftbarkeit mit C.________ und F.________, zur Bezah- lung von CHF 624.00 an Privatkläger E.________ verurteilt. 2. Soweit weitergehend wird die Zivilklage des Straf- und Zivilkläger E.________ infolge unzurei- chender Begründung auf den Zivilweg verwiesen (Art. 126 Abs. 2 Bst. b StPO). 3. Für die Beurteilung der Zivilklage werden keine Kosten ausgeschieden. V. Weiter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