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26 vom 28. Mai 2019</w:t>
      </w:r>
    </w:p>
    <w:p>
      <w:r>
        <w:t>BE Obergericht, 2019-05-28, DE</w:t>
      </w:r>
    </w:p>
    <w:p>
      <w:r>
        <w:rPr>
          <w:b/>
        </w:rPr>
        <w:t xml:space="preserve">Quelle: </w:t>
      </w:r>
      <w:r>
        <w:t>https://mcp.opencaselaw.ch/entscheid/be_zivilstraf_SK_2018_26</w:t>
      </w:r>
    </w:p>
    <w:p>
      <w:r>
        <w:t>FR: BE_ZIVILSTRAF SK 2018 26 du 28 mai 2019</w:t>
      </w:r>
    </w:p>
    <w:p>
      <w:r>
        <w:t>IT: BE_ZIVILSTRAF SK 2018 26 del 28 maggio 2019</w:t>
      </w:r>
    </w:p>
    <w:p>
      <w:pPr>
        <w:pStyle w:val="Heading2"/>
      </w:pPr>
      <w:r>
        <w:t>Regeste</w:t>
      </w:r>
    </w:p>
    <w:p>
      <w:r>
        <w:t>Widerhandlungen gegen das Strassenverkehrsgesetz und Widerrufsverfahren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qualifiziert groben Verletzung von Verkehrsregeln (Überschreitung um 67 km/h bei ei- ner Höchstgeschwindigkeit von 80 km/h), begangen am 4. Juli 2016, 09:41 Uhr, in Gadmen (Gde. Innertkirchen)</w:t>
      </w:r>
    </w:p>
    <w:p>
      <w:r>
        <w:rPr>
          <w:b/>
        </w:rPr>
        <w:t>E. 2</w:t>
      </w:r>
    </w:p>
    <w:p>
      <w:r>
        <w:t>der groben Verletzung von Verkehrsregeln (Überschreitung um 38 km/h bei einer Höchst- geschwindigkeit von 80 km/h), begangen am 11. Juli 2016, 10:52 Uhr, in Merligen (Gde. Sig- riswil)</w:t>
      </w:r>
    </w:p>
    <w:p>
      <w:r>
        <w:rPr>
          <w:b/>
        </w:rPr>
        <w:t>E. 3</w:t>
      </w:r>
    </w:p>
    <w:p>
      <w:r>
        <w:t>des Missbrauchs von Ausweisen und Schildern, begangen am 11. August 2015, 09:56 Uhr, in Rickenbach / SZ</w:t>
      </w:r>
    </w:p>
    <w:p>
      <w:r>
        <w:rPr>
          <w:b/>
        </w:rPr>
        <w:t>E. 4</w:t>
      </w:r>
    </w:p>
    <w:p>
      <w:r>
        <w:t>des Fahrens ohne Fahrzeugausweis und Haftpflichtversicherung, begangen am 11. August 2015, 9:56 Uhr, in Rickenbach / SZ und in Anwendung der Art. 10 Abs. 1, 63 Abs. 1, 90 Abs. 2, Abs. 3 und 4 Bst. c, 96 Abs. 1 Bst. a und Abs. 2, 97 Abs. 1 Bst. a SVG Art. 4a Abs. 1 Bst. b VRV Art. 40, 42 Abs. 1, 44 Abs. 1, 47, 49 Abs. 1, 106, 251 StGB, Art. 426 ff. StPO verurteilt: 1. Zu einer Freiheitsstrafe von 13 Monaten. Der Vollzug der Freiheitsstrafe wird aufgeschoben und die Probezeit auf 4 Jahre festgesetzt. 2. Zu einer Geldstrafe von 60 Tagessätzen zu CHF 30.00, ausmachend total CHF 1'800.00. 3. Zu den Verfahrenskosten, sich zusammensetzend aus Kosten des Untersuchungs-verfahrens von CHF 7'709.30 (Gebühren CHF 3'455.00, Auslagen CHF 4'254.30) und Gebühren des Ge- richts von CHF 2'550.00 (inkl. Auftritt der Staatsanwaltschaft) und Auslagen von CHF 5'200.00, insgesamt bestimmt auf CHF 15'459.30. [Zusammensetzung der Verfahrenskosten und reduzierte Verfahrenskosten]</w:t>
      </w:r>
    </w:p>
    <w:p>
      <w:r>
        <w:rPr>
          <w:b/>
        </w:rPr>
        <w:t>E. 5</w:t>
      </w:r>
    </w:p>
    <w:p>
      <w:r>
        <w:t>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