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252 vom 11. Februar 2019</w:t>
      </w:r>
    </w:p>
    <w:p>
      <w:r>
        <w:t>BE Obergericht, 2019-02-11, DE</w:t>
      </w:r>
    </w:p>
    <w:p>
      <w:r>
        <w:rPr>
          <w:b/>
        </w:rPr>
        <w:t xml:space="preserve">Quelle: </w:t>
      </w:r>
      <w:r>
        <w:t>https://mcp.opencaselaw.ch/entscheid/be_zivilstraf_SK_2018_252</w:t>
      </w:r>
    </w:p>
    <w:p>
      <w:r>
        <w:t>FR: BE_ZIVILSTRAF SK 2018 252 du 11 février 2019</w:t>
      </w:r>
    </w:p>
    <w:p>
      <w:r>
        <w:t>IT: BE_ZIVILSTRAF SK 2018 252 del 11 febbraio 2019</w:t>
      </w:r>
    </w:p>
    <w:p>
      <w:pPr>
        <w:pStyle w:val="Heading2"/>
      </w:pPr>
      <w:r>
        <w:t>Regeste</w:t>
      </w:r>
    </w:p>
    <w:p>
      <w:r>
        <w:t>versuchte Sexuelle Handlungen mit Kindern, Widerhandlungen gegen das BetmG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sexuellen Handlungen mit Kindern, begangen am 17. August 2016 in C.________ und D.________ zN "E.________" (verdeckter Fahnder; untauglicher Versuch);</w:t>
      </w:r>
    </w:p>
    <w:p>
      <w:r>
        <w:rPr>
          <w:b/>
        </w:rPr>
        <w:t>E. 2</w:t>
      </w:r>
    </w:p>
    <w:p>
      <w:r>
        <w:t>Zu einer Übertretungsbusse von CHF 200.00. Die Ersatzfreiheitsstrafe bei schuldhafter Nicht- bezahlung wird auf 2 Tage festgesetzt.</w:t>
      </w:r>
    </w:p>
    <w:p>
      <w:r>
        <w:rPr>
          <w:b/>
        </w:rPr>
        <w:t>E. 3</w:t>
      </w:r>
    </w:p>
    <w:p>
      <w:r>
        <w:t>Die Gebühren setzen sich zusammen aus: Gebühren der Untersuchung CHF 4'138.00 Gebühren des Gerichts CHF 1'500.00 Total CHF 5'638.00 Die Auslagen setzen sich zusammen aus: Auslagen für Gericht CHF 100.00 Total CHF 100.00 Wird keine schriftliche Begründung verlangt, reduziert sich die Gebühr um CHF 700.00. Die re- duzierten Verfahrenskosten betragen damit CHF 5'038.00. III. Die amtliche Entschädigung und das volle Honorar für die amtliche Verteidigung von A.________ durch Fürsprecher B.________ werden in einer separaten Verfügung bestimmt. IV.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