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222 vom 6. Juli 2018</w:t>
      </w:r>
    </w:p>
    <w:p>
      <w:r>
        <w:t>BE Obergericht, 2018-07-06, DE</w:t>
      </w:r>
    </w:p>
    <w:p>
      <w:r>
        <w:rPr>
          <w:b/>
        </w:rPr>
        <w:t xml:space="preserve">Quelle: </w:t>
      </w:r>
      <w:r>
        <w:t>https://mcp.opencaselaw.ch/entscheid/be_zivilstraf_SK_2018_222</w:t>
      </w:r>
    </w:p>
    <w:p>
      <w:r>
        <w:t>FR: BE_ZIVILSTRAF SK 2018 222 du 6 juillet 2018</w:t>
      </w:r>
    </w:p>
    <w:p>
      <w:r>
        <w:t>IT: BE_ZIVILSTRAF SK 2018 222 del 6 luglio 2018</w:t>
      </w:r>
    </w:p>
    <w:p>
      <w:pPr>
        <w:pStyle w:val="Heading2"/>
      </w:pPr>
      <w:r>
        <w:t>Regeste</w:t>
      </w:r>
    </w:p>
    <w:p>
      <w:r>
        <w:t>Ausstandsgesuch | Prozessrecht</w:t>
      </w:r>
    </w:p>
    <w:p>
      <w:pPr>
        <w:pStyle w:val="Heading2"/>
      </w:pPr>
      <w:r>
        <w:t>Erwägungen</w:t>
      </w:r>
    </w:p>
    <w:p>
      <w:r>
        <w:rPr>
          <w:b/>
        </w:rPr>
        <w:t>E. 1</w:t>
      </w:r>
    </w:p>
    <w:p>
      <w:r>
        <w:t>Mit Eingabe vom 7. Juni 2018 machte Rechtsanwalt B.________ namens von A.________ (Beschuldigter, nachfolgend: Gesuchsteller) geltend, er lehne Ober- richterin C.________ im Verfahren SK 17 240 wegen der Besorgnis der fehlenden Unabhängigkeit und Unparteilichkeit im Sinne von Art. 6 Abs. 1 der Konvention zum Schutze der Menschenrechte und Grundfreiheiten (EMRK; SR 0.101) ab (pag. 1). Zur Begründung führte er zusammenfassend aus, Oberrichterin C.________ sei Mitglied der SVP. Die SVP steche bei Versuchen der Einflussnahme auf die Recht- sprechung besonders hervor. Sie betreibe aktiv Politik gegen die Rechte und Frei- heiten der EMRK (pag. 1). So habe sie die «Selbstbestimmungsinitiative» gegen die EMRK lanciert. Es sei schwer nachvollziehbar, wie Richter der SVP unbefan- gen über Rügen wegen einer behaupteten Verletzung von Rechten und Freiheiten der EMRK entscheiden sollen, wenn die eigene Partei die Richter bei Abweichung offensichtlich abstrafe (pag. 1 ff.). Oberrichterin C.________ habe deshalb im Ver- fahren SK 18 170 (recte: SK 17 240) in den Ausstand zu treten (pag. 5).</w:t>
      </w:r>
    </w:p>
    <w:p>
      <w:r>
        <w:rPr>
          <w:b/>
        </w:rPr>
        <w:t>E. 2</w:t>
      </w:r>
    </w:p>
    <w:p>
      <w:r>
        <w:t>Gemäss Art. 59 Abs. 1 Bst. c der Schweizerischen Strafprozessordnung (StPO; SR 312.0) entscheidet das Berufungsgericht, wenn einzelne Mitglieder des Beru- fungsgerichts von einem Ausstandsgesuch betroffen sind. Die Richterinnen und Richter sind bei Bedarf zur gegenseitigen Aushilfe verpflichtet (Art. 45 Abs. 5 des Gesetzes über die Organisation der Gerichtsbehörden und der Staatsanwaltschaft [GSOG, BSG 161.1]), wenn nötig auch abteilungsübergreifend (Art. 23 Abs. 5 des Organisationsreglements des Obergerichts [OrR OG; BSG 162.11]). Sämtliche Richterinnen und Richter sind verpflichtet, bei Bedarf in beiden Amtssprachen des Kantons Bern zu arbeiten (Art. 29 Abs. 2 Bst. a GSOG). Die Kammer setzt sich vorliegend aus Mitgliedern der 2. Strafkammer zusammen, die vom Ausstandsgesuch vom 7. Juni 2018 nicht betroffen sind und nicht Mitglied des Spruchkörpers im Verfahren SK 17 240 sind (Oberrichter Niklaus, Oberrichter Geiser und Oberrichter Aebi). Mit Blick auf das Nachfolgende hat die Kammer auf das Einholen einer Stellung- nahme nach Art. 58 Abs. 2 StPO verzichtet (vgl. Urteil des Bundesgerichts 5A_461/2016 vom 3. November 2016 E. 5.1 zu Art. 49 Abs. 2 der Schweizerischen Zivilprozessordnung [ZPO; SR 272], dessen Wortlaut fast deckungsgleich ist mit Art. 58 Abs. 2 StPO).</w:t>
      </w:r>
    </w:p>
    <w:p>
      <w:r>
        <w:rPr>
          <w:b/>
        </w:rPr>
        <w:t>E. 3</w:t>
      </w:r>
    </w:p>
    <w:p>
      <w:r>
        <w:t>unverzüglich nach dessen Kenntnisnahme geltend gemacht werden; andernfalls ist der Anspruch verwirkt (BGE 140 I 271 E. 8.4.3 mit Hinweisen). Der Ausstand ist mithin so früh wie möglich, d.h. in den nächsten Tagen nach Kenntnisnahme, zu verlangen. Ein Ablehnungsgesuch, das beispielsweise erst nach zwei Wochen ge- stellt wird, ist klarerweise verspätet (Urteile des Bundesgerichts 1B_58/2017 vom</w:t>
      </w:r>
    </w:p>
    <w:p>
      <w:r>
        <w:rPr>
          <w:b/>
        </w:rPr>
        <w:t>E. 5</w:t>
      </w:r>
    </w:p>
    <w:p>
      <w:r>
        <w:t>Selbst wenn auf das Ausstandsgesuch eingetreten werden könnte, wäre dieses offensichtlich unbegründet:</w:t>
      </w:r>
    </w:p>
    <w:p>
      <w:r>
        <w:rPr>
          <w:b/>
        </w:rPr>
        <w:t>E. 5.1</w:t>
      </w:r>
    </w:p>
    <w:p>
      <w:r>
        <w:t>Nach Art. 30 Abs. 1 der Bundesverfassung der Schweizerischen Eidgenossen- schaft (BV; SR 101) und Art. 6 Abs. 1 EMRK, denen in dieser Hinsicht dieselbe Tragweite zukommt, hat jede Person Anspruch darauf, dass ihre Sache von einem unparteiischen, unvoreingenommenen und unbefangenen Richter ohne Einwirken sachfremder Umstände entschieden wird (Urteile des Bundesgerichts 1B_17/2018 vom 21. März 2018 E. 4.1 mit Hinweisen; 4A_327/2017 vom 31. August 2017 E. 5.2). Der Anspruch auf ein unparteiisches Gericht wird verletzt, wenn bei objekti- ver Betrachtung Gegebenheiten vorliegen, die den Anschein der Befangenheit oder die Gefahr der Voreingenommenheit begründen. Voreingenommenheit und Befan- genheit werden nach der Rechtsprechung angenommen, wenn Umstände vorlie- gen, die geeignet sind, Misstrauen in die Unparteilichkeit des Richters zu erwe- cken. Solche Umstände können in einem bestimmten Verhalten des betreffenden Richters oder in gewissen äusseren Gegebenheiten funktioneller und organisatori- scher Natur begründet sein. Bei der Beurteilung solcher Gegebenheiten ist nicht auf das subjektive Empfinden einer Partei abzustellen. Das Misstrauen in die Un-</w:t>
      </w:r>
    </w:p>
    <w:p>
      <w:r>
        <w:t>4 voreingenommenheit muss vielmehr in objektiver Weise begründet erscheinen (Ur- teile des Bundesgerichts 1B_150/2017 vom 4. Oktober 2017 E. 4.3; 1B_97/2017 vom 7. Juni 2017 E. 2; je mit Hinweisen).</w:t>
      </w:r>
    </w:p>
    <w:p>
      <w:r>
        <w:rPr>
          <w:b/>
        </w:rPr>
        <w:t>E. 5.2</w:t>
      </w:r>
    </w:p>
    <w:p>
      <w:r>
        <w:t>Im Kanton Bern bereitet die Justizkommission des Grossen Rates die Wahlen und Wiederwahlen der Richterinnen und Richter vor. Sie unterbreitet dem Grossen Rat nach Anhörung insbesondere des Obergerichts, des Verwaltungsgerichts, der Ge- neralstaatsanwaltschaft, des bernischen Anwaltsverbands sowie des Vereins ber- nischer Richterinnen und Richter, Staatsanwältinnen und Staatsanwälte eine Wahlempfehlung für jede zu besetzende Richterstelle und entscheidet, welche Personen zur Wiederwahl vorgeschlagen werden (Art. 21a Abs. 1 und 2 GSOG). Anschliessend wählt der Grosse Rat die Richterinnen und Richter (Art. 21 Abs. 1 GSOG). Es ist richtig, dass bei Richterwahlen durch das Parlament auch parteipolitische Aspekte mitspielen. Das Parlament orientiert sich mehr oder weniger am Parteipro- porz (vgl. NICCOLÒ RASELLI, Richterliche Unabhängigkeit, in: Justice - Justiz - Gius- tizia 2011/3, S. 2). Richter sind jedoch nicht Vertreter politischer Parteien. Art. 191c BV hält unmissverständlich fest, dass die richterlichen Behörden in ihrer rechtspre- chenden Tätigkeit unabhängig und nur dem Recht verpflichtet sind. Die Parteizu- gehörigkeit bzw. die politische Einstellung eines Richters stellt für sich allein weder nach der Rechtsprechung des Bundesgerichts noch des Europäischen Gerichts- hofs für Menschenrechte (nachfolgend: EGMR) einen Ausstandsgrund dar (Urteile des Bundesgerichts 1B_527/2017 vom 11. Mai 2018 E. 1.2; 6B_1043/2014 vom 25. November 2014 E. 2; Entscheid des EGMR Previti gegen Italien vom 8. De- zember 2009, Nr. 45291/06, Ziff. 258; je mit Hinweisen). Vorstösse einer politischen Partei – auch die vom Gesuchsteller konkret erwähnte Volksinitiative «Schweizer Recht statt fremde Richter (Selbstbestimmungsinitiati- ve)» – sind auf die Zukunft gerichtet und vermögen nichts an der aktuell in der Schweiz geltenden Rechtslage zu ändern. Die Schweiz hat die EMRK am 28. No- vember 1974 ratifiziert und sich damit zur Einhaltung der Konventionsgarantien verpflichtet. Die Mitglieder des Obergerichts sind ungeachtet ihrer Parteizugehörig- keit und ihrer politischen Einstellung in der Lage, strafrechtliche Vorwürfe objektiv zu beurteilen und hängige Strafverfahren auch auf ihre Vereinbarkeit mit der EMRK hin zu überprüfen. Zudem ist entgegen der Behauptung des Gesuchstellers in kei- ner Weise ersichtlich, weshalb die Gesuchgegnerin aufgrund des vorliegenden Ver- fahrens bei den Wiederwahlen von ihrer Partei «abgestraft» werden sollte (vgl. pag. 3). Die Zugehörigkeit der Gesuchsgegnerin zur SVP ist daher nicht geeignet, Miss- trauen in ihre Unparteilichkeit zu erwecken. Weitere Gründe, welche den Anschein der Befangenheit bei der Gesuchsgegnerin zu begründen vermöchten, sind nicht ersichtlich. Namentlich gibt es keinerlei Hin- weise auf Feindschaft oder sonstige Umstände, die ein faires Verfahren gegenüber dem Gesuchsteller in Frage stellen würden (vgl. Urteil des Bundesgerichts 1B_185/2017 vom 21. August 2017 E. 2. mit Hinweis).</w:t>
      </w:r>
    </w:p>
    <w:p>
      <w:r>
        <w:rPr>
          <w:b/>
        </w:rPr>
        <w:t>E. 6</w:t>
      </w:r>
    </w:p>
    <w:p>
      <w:r>
        <w:t>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