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466 vom 4. Mai 2018</w:t>
      </w:r>
    </w:p>
    <w:p>
      <w:r>
        <w:t>BE Obergericht, 2018-05-04, DE</w:t>
      </w:r>
    </w:p>
    <w:p>
      <w:r>
        <w:rPr>
          <w:b/>
        </w:rPr>
        <w:t xml:space="preserve">Quelle: </w:t>
      </w:r>
      <w:r>
        <w:t>https://mcp.opencaselaw.ch/entscheid/be_zivilstraf_SK_2017_466</w:t>
      </w:r>
    </w:p>
    <w:p>
      <w:r>
        <w:t>FR: BE_ZIVILSTRAF SK 2017 466 du 4 mai 2018</w:t>
      </w:r>
    </w:p>
    <w:p>
      <w:r>
        <w:t>IT: BE_ZIVILSTRAF SK 2017 466 del 4 maggio 2018</w:t>
      </w:r>
    </w:p>
    <w:p>
      <w:pPr>
        <w:pStyle w:val="Heading2"/>
      </w:pPr>
      <w:r>
        <w:t>Regeste</w:t>
      </w:r>
    </w:p>
    <w:p>
      <w:r>
        <w:t>Diebstahl | Strafgesetz</w:t>
      </w:r>
    </w:p>
    <w:p>
      <w:pPr>
        <w:pStyle w:val="Heading2"/>
      </w:pPr>
      <w:r>
        <w:t>Erwägungen</w:t>
      </w:r>
    </w:p>
    <w:p>
      <w:r>
        <w:rPr>
          <w:b/>
        </w:rPr>
        <w:t>E. 1</w:t>
      </w:r>
    </w:p>
    <w:p>
      <w:r>
        <w:t>Erstinstanzliches Urteil Mit Urteil vom 12. September 2017 erkannte das Regionalgericht Bern-Mittelland (Einzelgericht) was folgt: I. A.________ wird freigesprochen: von der Anschuldigung des Diebstahls, angeblich mehrfach begangen - am 29.09.2012 in R.________, z.N. von B.________ (DB: CHF 10‘020.00) - am 31.03.2013 in Bern, z.N. von B.________ (DB: CHF 3‘000.00) unter Ausrichtung einer Entschädigung an A.________ von CHF 7‘589.80 für die angemessene Ausübung ihrer Verfahrensrechte, unter Auferlegung der Verfahrenskosten, sich zusammensetzend aus Gebühren von CHF 5‘260.00 und Auslagen von CHF 204.00, insgesamt bestimmt auf CHF 5‘464.00, an den Kanton Bern. [Zusammensetzung der Gebühren und Auslagen] Wird eine schriftliche Begründung verlangt oder nötig, entsteht eine Gebühr von CHF 800.00. II. Betreffend Zivilpunkt wird in Anwendung von Art. 41 OR sowie Art. 126 StPO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