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2017 13 vom 20. September 2016</w:t>
      </w:r>
    </w:p>
    <w:p>
      <w:r>
        <w:t>BE Obergericht, 2016-09-20, DE</w:t>
      </w:r>
    </w:p>
    <w:p>
      <w:r>
        <w:rPr>
          <w:b/>
        </w:rPr>
        <w:t xml:space="preserve">Quelle: </w:t>
      </w:r>
      <w:r>
        <w:t>https://mcp.opencaselaw.ch/entscheid/be_zivilstraf_SK_2017_13</w:t>
      </w:r>
    </w:p>
    <w:p>
      <w:r>
        <w:t>FR: BE_ZIVILSTRAF SK 2017 13 du 20 septembre 2016</w:t>
      </w:r>
    </w:p>
    <w:p>
      <w:r>
        <w:t>IT: BE_ZIVILSTRAF SK 2017 13 del 20 settembre 2016</w:t>
      </w:r>
    </w:p>
    <w:p>
      <w:pPr>
        <w:pStyle w:val="Heading2"/>
      </w:pPr>
      <w:r>
        <w:t>Regeste</w:t>
      </w:r>
    </w:p>
    <w:p>
      <w:r>
        <w:t>Sexuelle Handlungen mit Kindern und Versuch dazu, Pornografie, Verabreichen gesundheitsgefährdender Stoffe an Kinder etc. | Strafgesetz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Erstinstanzliches Urteil</w:t>
      </w:r>
    </w:p>
    <w:p>
      <w:r>
        <w:rPr>
          <w:b/>
        </w:rPr>
        <w:t>E. 1.1</w:t>
      </w:r>
    </w:p>
    <w:p>
      <w:r>
        <w:t>Mit Urteil vom 20. September 2016 erkannte das Regionalgericht Bern-Mittelland (Einzelgericht) was folgt (pag. 889 ff.): «I. Das Strafverfahren gegen A.________ wegen Widerhandlungen gegen das Betäubungsmittelgesetz durch Konsum einer unbestimm- ten Menge Marihuana, angeblich begangen in der Zeit zwischen ca. Januar 2013 und 20.09.2013 in ________ [Ort 1] und evtl. andernorts (Anklageschrift Ziff. 4); wird eingestellt, ohne Ausrichtung einer Entschädigung und ohne Ausscheidung von Verfahrenskosten. II. A.________ wird freigesprochen: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