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105 vom 2. März 2018</w:t>
      </w:r>
    </w:p>
    <w:p>
      <w:r>
        <w:t>BE Obergericht, 2018-03-02, DE</w:t>
      </w:r>
    </w:p>
    <w:p>
      <w:r>
        <w:rPr>
          <w:b/>
        </w:rPr>
        <w:t xml:space="preserve">Quelle: </w:t>
      </w:r>
      <w:r>
        <w:t>https://mcp.opencaselaw.ch/entscheid/be_zivilstraf_SK_2017_105</w:t>
      </w:r>
    </w:p>
    <w:p>
      <w:r>
        <w:t>FR: BE_ZIVILSTRAF SK 2017 105 du 2 mars 2018</w:t>
      </w:r>
    </w:p>
    <w:p>
      <w:r>
        <w:t>IT: BE_ZIVILSTRAF SK 2017 105 del 2 marzo 2018</w:t>
      </w:r>
    </w:p>
    <w:p>
      <w:pPr>
        <w:pStyle w:val="Heading2"/>
      </w:pPr>
      <w:r>
        <w:t>Regeste</w:t>
      </w:r>
    </w:p>
    <w:p>
      <w:r>
        <w:t>utilisation frauduleuse d'un ordinateur, voies de fait, empêchement d'accomplir un acte officiel, infractions à la loi fédérale sur les armes | Strafgesetz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Première instance</w:t>
      </w:r>
    </w:p>
    <w:p>
      <w:r>
        <w:rPr>
          <w:b/>
        </w:rPr>
        <w:t>E. 2.1</w:t>
      </w:r>
    </w:p>
    <w:p>
      <w:r>
        <w:t>Pour la description des différentes étapes de la procédure préliminaire et de première instance, il est renvoyé aux motifs du jugement du 14 décembre 2016 (D. 123-124).</w:t>
      </w:r>
    </w:p>
    <w:p>
      <w:r>
        <w:rPr>
          <w:b/>
        </w:rPr>
        <w:t>E. 2.2</w:t>
      </w:r>
    </w:p>
    <w:p>
      <w:r>
        <w:t>Par jugement du 14 décembre 2016 (D. 115), le Tribunal régional Jura bernois- Seeland a : 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