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2016 424 vom 3. Mai 2017</w:t>
      </w:r>
    </w:p>
    <w:p>
      <w:r>
        <w:t>BE Obergericht, 2017-05-03, DE</w:t>
      </w:r>
    </w:p>
    <w:p>
      <w:r>
        <w:rPr>
          <w:b/>
        </w:rPr>
        <w:t xml:space="preserve">Quelle: </w:t>
      </w:r>
      <w:r>
        <w:t>https://mcp.opencaselaw.ch/entscheid/be_zivilstraf_SK_2016_424</w:t>
      </w:r>
    </w:p>
    <w:p>
      <w:r>
        <w:t>FR: BE_ZIVILSTRAF SK 2016 424 du 3 mai 2017</w:t>
      </w:r>
    </w:p>
    <w:p>
      <w:r>
        <w:t>IT: BE_ZIVILSTRAF SK 2016 424 del 3 maggio 2017</w:t>
      </w:r>
    </w:p>
    <w:p>
      <w:pPr>
        <w:pStyle w:val="Heading2"/>
      </w:pPr>
      <w:r>
        <w:t>Regeste</w:t>
      </w:r>
    </w:p>
    <w:p>
      <w:r>
        <w:t>Widerhandlungen gegen das Strassenverkehrsgesetz | Strassenverkehr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mangelnde Aufmerksamkeit und Nichtgewähren des Vortritts beim Überqueren von Radstreifen,</w:t>
      </w:r>
    </w:p>
    <w:p>
      <w:r>
        <w:rPr>
          <w:b/>
        </w:rPr>
        <w:t>E. 2</w:t>
      </w:r>
    </w:p>
    <w:p>
      <w:r>
        <w:t>Unterlassen der Zeichengebung beim Rechtsabbiegen, beides begangen am 01.08.2012, ca. 00:20 Uhr in Biel/Bienne, C.________-Strasse und in Anwendung von aArt. 90 Ziff. 1 SVG, Art. 31 Abs. 1 SVG, Art. 43 Abs. 2 SVG, Art. 100 Ziff. 1 SVG, Art. 40 Abs. 4 VRV (Ziff. II.1. vorstehend) aArt. 90 Ziff. 1 SVG, Art. 39 Abs. 1 lit. a SVG (Ziff. II.2. vorstehend) Art. 2. Abs. 2, Art. 47, Art. 49 Abs. 1, Art. 106 StGB Art. 422, Art. 426 StPO 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