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377 vom 6. September 2017</w:t>
      </w:r>
    </w:p>
    <w:p>
      <w:r>
        <w:t>BE Obergericht, 2017-09-06, DE</w:t>
      </w:r>
    </w:p>
    <w:p>
      <w:r>
        <w:rPr>
          <w:b/>
        </w:rPr>
        <w:t xml:space="preserve">Quelle: </w:t>
      </w:r>
      <w:r>
        <w:t>https://mcp.opencaselaw.ch/entscheid/be_zivilstraf_SK_2016_377</w:t>
      </w:r>
    </w:p>
    <w:p>
      <w:r>
        <w:t>FR: BE_ZIVILSTRAF SK 2016 377 du 6 septembre 2017</w:t>
      </w:r>
    </w:p>
    <w:p>
      <w:r>
        <w:t>IT: BE_ZIVILSTRAF SK 2016 377 del 6 settembre 2017</w:t>
      </w:r>
    </w:p>
    <w:p>
      <w:pPr>
        <w:pStyle w:val="Heading2"/>
      </w:pPr>
      <w:r>
        <w:t>Regeste</w:t>
      </w:r>
    </w:p>
    <w:p>
      <w:r>
        <w:t>Sexuelle Nötigung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 einer Geldstrafe von 330 Tagessätzen zu CHF 30.00, ausmachend total CHF 9‘900.00. Der Vollzug der Geldstrafe wird aufgeschoben und die Probezeit auf 2 Jahre festgesetzt.</w:t>
      </w:r>
    </w:p>
    <w:p>
      <w:r>
        <w:rPr>
          <w:b/>
        </w:rPr>
        <w:t>E. 2</w:t>
      </w:r>
    </w:p>
    <w:p>
      <w:r>
        <w:t>Zu den Verfahrenskosten, sich zusammensetzend aus Gebühren von CHF 6‘250.00 und Aus- lagen von CHF 205.00, insgesamt bestimmt auf CHF 6‘455.00. […] Wird keine schriftliche Begründung verlangt, reduziert sich die Gebühr um CHF 800.00. Die re- duzierten Verfahrenskosten betragen damit CHF 5‘655.00. II. [amtliche Entschädigungen] III. A.________ wird in Anwendung von Art. 41 und 49 OR sowie Art. 126 und 432 ff. StPO weiter verur- teilt: Zur Bezahlung von CHF 3‘000.00 Genugtuung zuzüglich 5 % Zins seit dem 20.10.2013 an die Pri- vatklägerin C.________. Weitergehend wird die Genugtuungsforderung abgewiesen. IV. Im Zivilpunkt wird weiter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