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2016 222 vom 13. Januar 2017</w:t>
      </w:r>
    </w:p>
    <w:p>
      <w:r>
        <w:t>BE Obergericht, 2017-01-13, DE</w:t>
      </w:r>
    </w:p>
    <w:p>
      <w:r>
        <w:rPr>
          <w:b/>
        </w:rPr>
        <w:t xml:space="preserve">Quelle: </w:t>
      </w:r>
      <w:r>
        <w:t>https://mcp.opencaselaw.ch/entscheid/be_zivilstraf_SK_2016_222</w:t>
      </w:r>
    </w:p>
    <w:p>
      <w:r>
        <w:t>FR: BE_ZIVILSTRAF SK 2016 222 du 13 janvier 2017</w:t>
      </w:r>
    </w:p>
    <w:p>
      <w:r>
        <w:t>IT: BE_ZIVILSTRAF SK 2016 222 del 13 gennaio 2017</w:t>
      </w:r>
    </w:p>
    <w:p>
      <w:pPr>
        <w:pStyle w:val="Heading2"/>
      </w:pPr>
      <w:r>
        <w:t>Regeste</w:t>
      </w:r>
    </w:p>
    <w:p>
      <w:r>
        <w:t>qualifizierte Veruntreuung sowie Widerrufsverfahren | Strafgesetz</w:t>
      </w:r>
    </w:p>
    <w:p>
      <w:pPr>
        <w:pStyle w:val="Heading2"/>
      </w:pPr>
      <w:r>
        <w:t>Erwägungen</w:t>
      </w:r>
    </w:p>
    <w:p>
      <w:r>
        <w:rPr>
          <w:b/>
        </w:rPr>
        <w:t>E. 1</w:t>
      </w:r>
    </w:p>
    <w:p>
      <w:r>
        <w:t>Erstinstanzliches Urteil Am 9. Februar 2016 sprach das Regionalgericht Oberland (Einzelgericht) A.________ (nachfolgend Beschuldigter) der mehrfachen qualifizierten Veruntreu- ung, begangen am 22. Juni 2012 sowie am 22. Mai 2014 in E.________, z.N. von C.________ im Deliktsbetrag von CHF 28‘766.05 schuldig und verurteilte ihn in Anwendung der einschlägigen gesetzlichen Bestimmungen zu einer Geldstrafe von 180 Tagessätzen à CHF 140.00, ausmachend total CHF 25‘200.00. Der Vollzug der Geldstrafe wurde unter Ansetzung einer Probezeit von 3 Jahren aufgeschoben. Weiter wurde der Beschuldigte zu einer Verbindungsbusse von CHF 4‘200.00 (Er- satzfreiheitsstrafe bei schuldhafter Nichtbezahlung: 30 Tage) sowie zur Bezahlung der erstinstanzlichen Verfahrenskosten von CHF 2‘650.00 (inkl. Kosten der schrift- lichen Urteilsbegründung) verurteilt. Im Widerrufsverfahren verzichtete die Vorin- stanz darauf, den dem Beschuldigten mit Strafbefehl vom 14. Oktober 2011 für ei- ne Geldstrafe von 5 Tagessätzen à CHF 60.00 gewährten bedingten Vollzug zu wi- derrufen. Hingegen verlängerte sie die Probezeit um 1 Jahr und auferlegte dem Beschuldigten die Verfahrenskosten für das Widerrufsverfahren in der Höhe von CHF 300.00. Schliesslich verfügte die Vorinstanz die Ausrichtung einer amtlichen Entschädigung von CHF 7‘704.30 an Rechtsanwalt Dr. B.________, wobei der Be- schuldigte zur Nachzahlung bzw. Zahlung der Differenz zwischen dem amtlichen Honorar und dem vollen Honorar verpflichtet wurde (pag. 547 ff.).</w:t>
      </w:r>
    </w:p>
    <w:p>
      <w:r>
        <w:rPr>
          <w:b/>
        </w:rPr>
        <w:t>E. 2</w:t>
      </w:r>
    </w:p>
    <w:p>
      <w:r>
        <w:t>Berufung Gegen dieses Urteil meldete der Beschuldigte, vertreten durch Rechtsanwalt Dr. B.________, am 18. Februar 2016 form- und fristgerecht die Berufung an (pag. 555). In der ebenfalls form- und fristgerecht erfolgten Berufungserklärung vom 30. Juni 2016 erklärte die Verteidigung die vollumfängliche Anfechtung des erstinstanz- lichen Urteils (pag. 588). Auf entsprechende Verfügung der Verfahrensleitung hin gab die Generalstaatsanwaltschaft am 7. Juli 2016 ihren Verzicht auf die Teilnah- me am oberinstanzlichen Verfahren bekannt (pag. 593). Mit Verfügung vom 11. Juli 2016 stellte die Verfahrensleitung die Durchführung eines schriftlichen Verfahrens in Aussicht und forderte den Beschuldigten zur Mitteilung auf, ob er damit einver- standen sei (pag. 594). Rechtsanwalt Dr. B.________ gab mit Eingabe vom 22. Juli 2016 namens des Beschuldigten sein Einverständnis bekannt (pag. 597), worauf- hin am 25. Juli 2016 die Durchführung des schriftlichen Verfahrens angeordnet und der Beschuldigte zur Einreichung einer schriftlichen Berufungsbegründung aufge- fordert wurde (pag. 599f.). Nach zweimalig gewährter Fristverlängerung reichte die Verteidigung am 26. Oktober 2016 die Berufungsbegründung ein (pag. 616 ff.), woraufhin der Schriftenwechsel mit Verfügung vom 27. Oktober 2016 als geschlos- sen erachtet wurde (pag. 630f.).</w:t>
      </w:r>
    </w:p>
    <w:p>
      <w:r>
        <w:rPr>
          <w:b/>
        </w:rPr>
        <w:t>E. 3</w:t>
      </w:r>
    </w:p>
    <w:p>
      <w:r>
        <w:t>Anträge der Verteidigung In seiner schriftlichen Berufungsbegründung vom 26. Oktober 2016 stellte Rechts- anwalt Dr. B.________ namens des Beschuldigten folgende Rechtsbegehren (pag. 631):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