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2015 315 vom 10. August 2016</w:t>
      </w:r>
    </w:p>
    <w:p>
      <w:r>
        <w:t>BE Obergericht, 2016-08-10, DE</w:t>
      </w:r>
    </w:p>
    <w:p>
      <w:r>
        <w:rPr>
          <w:b/>
        </w:rPr>
        <w:t xml:space="preserve">Quelle: </w:t>
      </w:r>
      <w:r>
        <w:t>https://mcp.opencaselaw.ch/entscheid/be_zivilstraf_SK_2015_315</w:t>
      </w:r>
    </w:p>
    <w:p>
      <w:r>
        <w:t>FR: BE_ZIVILSTRAF SK 2015 315 du 10 août 2016</w:t>
      </w:r>
    </w:p>
    <w:p>
      <w:r>
        <w:t>IT: BE_ZIVILSTRAF SK 2015 315 del 10 agosto 2016</w:t>
      </w:r>
    </w:p>
    <w:p>
      <w:pPr>
        <w:pStyle w:val="Heading2"/>
      </w:pPr>
      <w:r>
        <w:t>Regeste</w:t>
      </w:r>
    </w:p>
    <w:p>
      <w:r>
        <w:t>infractions dans la poursuite pour dettes; irrecevabilité du recours | Strafgesetz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de première instance, il est renvoyé aux motifs du jugement du 30 juin 2015 (D. 433-441).</w:t>
      </w:r>
    </w:p>
    <w:p>
      <w:r>
        <w:rPr>
          <w:b/>
        </w:rPr>
        <w:t>E. 2.2</w:t>
      </w:r>
    </w:p>
    <w:p>
      <w:r>
        <w:t>Par jugement du 30 juin 2015 (D. 418-420), le Tribunal régional Jura bernois- Seeland, Agence du Jura bernois, (n’)a 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