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2013 275 vom 1. Mai 2014</w:t>
      </w:r>
    </w:p>
    <w:p>
      <w:r>
        <w:t>BE Obergericht, 2014-05-01, DE</w:t>
      </w:r>
    </w:p>
    <w:p>
      <w:r>
        <w:rPr>
          <w:b/>
        </w:rPr>
        <w:t xml:space="preserve">Quelle: </w:t>
      </w:r>
      <w:r>
        <w:t>https://mcp.opencaselaw.ch/entscheid/be_zivilstraf_SK_2013_275</w:t>
      </w:r>
    </w:p>
    <w:p>
      <w:r>
        <w:t>FR: BE_ZIVILSTRAF SK 2013 275 du 1 mai 2014</w:t>
      </w:r>
    </w:p>
    <w:p>
      <w:r>
        <w:t>IT: BE_ZIVILSTRAF SK 2013 275 del 1 maggio 2014</w:t>
      </w:r>
    </w:p>
    <w:p>
      <w:pPr>
        <w:pStyle w:val="Heading2"/>
      </w:pPr>
      <w:r>
        <w:t>Regeste</w:t>
      </w:r>
    </w:p>
    <w:p>
      <w:r>
        <w:t>Verwertung privat erlangter Beweismittel (Leitentscheid) | Strafgesetz</w:t>
      </w:r>
    </w:p>
    <w:p>
      <w:pPr>
        <w:pStyle w:val="Heading2"/>
      </w:pPr>
      <w:r>
        <w:t>Erwägungen</w:t>
      </w:r>
    </w:p>
    <w:p>
      <w:r>
        <w:rPr>
          <w:b/>
        </w:rPr>
        <w:t>E. 14</w:t>
      </w:r>
    </w:p>
    <w:p>
      <w:r>
        <w:t>Gleiches gilt auch für die amtliche Vertretung der Privatklägerschaft: Gemäss Art. 138 Abs. 1 StPO richtet sich die Entschädigung des Rechtsbeistands sinngemäss nach Art. 135 StPO; für eine Anwendung von Art. 433 StPO verbleibt damit kein Raum. Dem- entsprechend erhält die amtliche Anwältin bzw. der amtliche Anwalt der obsiegenden Privatklägerschaft auch nur das amtliche Honorar, ohne zusätzliche Verurteilung des Beschuldigten zur Bezahlung der vollen Parteikosten und auch ohne Nachforderungs- recht gegenüber der Privatklägerschaft.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