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HG 2025 50 vom 19. August 2025</w:t>
      </w:r>
    </w:p>
    <w:p>
      <w:r>
        <w:t>BE Obergericht, 2025-08-19, DE</w:t>
      </w:r>
    </w:p>
    <w:p>
      <w:r>
        <w:rPr>
          <w:b/>
        </w:rPr>
        <w:t xml:space="preserve">Quelle: </w:t>
      </w:r>
      <w:r>
        <w:t>https://mcp.opencaselaw.ch/entscheid/be_zivilstraf_HG_2025_50</w:t>
      </w:r>
    </w:p>
    <w:p>
      <w:r>
        <w:t>FR: BE_ZIVILSTRAF HG 2025 50 du 19 août 2025</w:t>
      </w:r>
    </w:p>
    <w:p>
      <w:r>
        <w:t>IT: BE_ZIVILSTRAF HG 2025 50 del 19 agosto 2025</w:t>
      </w:r>
    </w:p>
    <w:p>
      <w:pPr>
        <w:pStyle w:val="Heading2"/>
      </w:pPr>
      <w:r>
        <w:t>Regeste</w:t>
      </w:r>
    </w:p>
    <w:p>
      <w:r>
        <w:t>Art. 111 OR; Erfüllungsgarantie | Werkvertrag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Es sei die Beklagte zu verpflichten, der Klägerin CHF 471ꞌ250.00 zuzüglich Zins zu 5% seit 15. März 2025 zu bezahlen.</w:t>
      </w:r>
    </w:p>
    <w:p>
      <w:r>
        <w:rPr>
          <w:b/>
        </w:rPr>
        <w:t>E. 2</w:t>
      </w:r>
    </w:p>
    <w:p>
      <w:r>
        <w:t>Die Beklagte reichte am 27. Juni 2025 (Eingang beim Handelsgericht am 30. Juni 2025) ihre Klageantwort ein und stellte folgende Rechtsbegehren (pag. 25 ff.):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