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HG 2024 32 vom 9. Mai 2025</w:t>
      </w:r>
    </w:p>
    <w:p>
      <w:r>
        <w:t>BE Obergericht, 2025-05-09, DE</w:t>
      </w:r>
    </w:p>
    <w:p>
      <w:r>
        <w:rPr>
          <w:b/>
        </w:rPr>
        <w:t xml:space="preserve">Quelle: </w:t>
      </w:r>
      <w:r>
        <w:t>https://mcp.opencaselaw.ch/entscheid/be_zivilstraf_HG_2024_32</w:t>
      </w:r>
    </w:p>
    <w:p>
      <w:r>
        <w:t>FR: BE_ZIVILSTRAF HG 2024 32 du 9 mai 2025</w:t>
      </w:r>
    </w:p>
    <w:p>
      <w:r>
        <w:t>IT: BE_ZIVILSTRAF HG 2024 32 del 9 maggio 2025</w:t>
      </w:r>
    </w:p>
    <w:p>
      <w:pPr>
        <w:pStyle w:val="Heading2"/>
      </w:pPr>
      <w:r>
        <w:t>Regeste</w:t>
      </w:r>
    </w:p>
    <w:p>
      <w:r>
        <w:t>Art. 109 Abs. 2 und Art. 129 Abs. 1 IPRG; Bestimmung des Erfolgsortes bei erst drohender Markenrechtsverletzung | Markenrecht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 sei festzustellen, dass die CH Marke Nr.________ – «G.________» nichtig ist.</w:t>
      </w:r>
    </w:p>
    <w:p>
      <w:r>
        <w:rPr>
          <w:b/>
        </w:rPr>
        <w:t>E. 2</w:t>
      </w:r>
    </w:p>
    <w:p>
      <w:r>
        <w:t>Mit Verfügung vom 11. März 2024 wurde die Beklagte aufgefordert, innert zwei Mo- naten eine Klageantwort einzureichen (pag. 27 f.).</w:t>
      </w:r>
    </w:p>
    <w:p>
      <w:r>
        <w:rPr>
          <w:b/>
        </w:rPr>
        <w:t>E. 3</w:t>
      </w:r>
    </w:p>
    <w:p>
      <w:r>
        <w:t>Mit (uneinlässlicher) Klageantwort vom 29. Mai 2024 (Eingang beim Handelsgericht des Kantons Bern am 30. Mai 2024) stellte die Beklagte folgende Rechtsbegehren (pag. 37 ff.):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