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HG 2020 24 vom 28. April 2020</w:t>
      </w:r>
    </w:p>
    <w:p>
      <w:r>
        <w:t>BE Obergericht, 2020-04-28, DE</w:t>
      </w:r>
    </w:p>
    <w:p>
      <w:r>
        <w:rPr>
          <w:b/>
        </w:rPr>
        <w:t xml:space="preserve">Quelle: </w:t>
      </w:r>
      <w:r>
        <w:t>https://mcp.opencaselaw.ch/entscheid/be_zivilstraf_HG_2020_24</w:t>
      </w:r>
    </w:p>
    <w:p>
      <w:r>
        <w:t>FR: BE_ZIVILSTRAF HG 2020 24 du 28 avril 2020</w:t>
      </w:r>
    </w:p>
    <w:p>
      <w:r>
        <w:t>IT: BE_ZIVILSTRAF HG 2020 24 del 28 aprile 2020</w:t>
      </w:r>
    </w:p>
    <w:p>
      <w:pPr>
        <w:pStyle w:val="Heading2"/>
      </w:pPr>
      <w:r>
        <w:t>Regeste</w:t>
      </w:r>
    </w:p>
    <w:p>
      <w:r>
        <w:t>Vorsorgliche Massnahmen; Geschäftsführungs- und Vertretungsbefugnis des Geschäftsführers bei Pattsituation |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B.________ GmbH (nachfolgend: Gesuchsgegnerin) ist eine Gesellschaft mit beschränkter Haftung mit Sitz in C.________. Sie bezweckt den Handel mit Haus- haltsgegenständen und technischen Produkten, den Handel mit und Service an Sportgeräten, sowie die Führung von Buchhaltungen und die Übernahme allgemei- ner Bürodienste. Ausserdem bezweckt die Gesellschaft die Verwaltung, den Unter- halt und das Ausführen von Renovationen von Liegenschaften aller Art sowie deren Handel.</w:t>
      </w:r>
    </w:p>
    <w:p>
      <w:r>
        <w:rPr>
          <w:b/>
        </w:rPr>
        <w:t>E. 1.2</w:t>
      </w:r>
    </w:p>
    <w:p>
      <w:r>
        <w:t>Einzige Gesellschafter und Geschäftsführer der Gesuchsgegnerin sind A.________ (nachfolgend: Gesuchstellerin) und ihr (noch-)Ehemann, D.________.</w:t>
      </w:r>
    </w:p>
    <w:p>
      <w:r>
        <w:rPr>
          <w:b/>
        </w:rPr>
        <w:t>E. 1.3</w:t>
      </w:r>
    </w:p>
    <w:p>
      <w:r>
        <w:t>Die beiden (einzelzeichnungsberechtigten) Gesellschafter, Geschäftsführer und Ehegatten haben sich 2016 getrennt und befinden sich derzeit in Scheidung. Die zwischen den Gesellschaftern bestehende Konfliktsituation hat zunehmend zu Pro- blemen in der Geschäftsführung der Gesuchsgegnerin und zum Streit über die Kontrolle geführt.</w:t>
      </w:r>
    </w:p>
    <w:p>
      <w:r>
        <w:rPr>
          <w:b/>
        </w:rPr>
        <w:t>E. 1.4</w:t>
      </w:r>
    </w:p>
    <w:p>
      <w:r>
        <w:t>Aktuell verfügt die Gesuchsgegnerin über keinen Vorsitzenden der Geschäfts- führung, weist mithin einen Organisationsmangel i.S.v. Art. 731b des Schweizeri- schen Obligationenrechts (OR; SR 220) auf. 2. 2.1 Mit Schreiben vom 31. Januar 2020 (Postaufgabe gleichentags) reichte die Ge- suchstellerin beim Handelsgericht ein Gesuch um Erlass superprovisorischer Massnahmen mit folgenden Rechtsbegehren ein (Verfahren HG 20 11):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