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HG 2018 127 vom 24. September 2020</w:t>
      </w:r>
    </w:p>
    <w:p>
      <w:r>
        <w:t>BE Obergericht, 2020-09-24, DE</w:t>
      </w:r>
    </w:p>
    <w:p>
      <w:r>
        <w:rPr>
          <w:b/>
        </w:rPr>
        <w:t xml:space="preserve">Quelle: </w:t>
      </w:r>
      <w:r>
        <w:t>https://mcp.opencaselaw.ch/entscheid/be_zivilstraf_HG_2018_127</w:t>
      </w:r>
    </w:p>
    <w:p>
      <w:r>
        <w:t>FR: BE_ZIVILSTRAF HG 2018 127 du 24 septembre 2020</w:t>
      </w:r>
    </w:p>
    <w:p>
      <w:r>
        <w:t>IT: BE_ZIVILSTRAF HG 2018 127 del 24 settembre 2020</w:t>
      </w:r>
    </w:p>
    <w:p>
      <w:pPr>
        <w:pStyle w:val="Heading2"/>
      </w:pPr>
      <w:r>
        <w:t>Regeste</w:t>
      </w:r>
    </w:p>
    <w:p>
      <w:r>
        <w:t>Abtretungsklage, Aufgabendesign | Immaterialgüterrecht übrige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Beklagte führt die E.________ AG. Von Februar 2011 bis März 2016 war sie gestützt auf einen «Freelancer-Auftrag» für die Klägerin tätig, den diese mit der E.________ AG abgeschlossen hatte. Während der Dauer des «Freelancer-Auf- trags» entwickelte die Beklagte einen Badezimmer-Spiegelschrank (nachfolgend Spiegelschrank), den sie unter anderem als Design schützen liess. Die Hinterlegung erfolgte am 3. September 2015 auf ihren Namen als internationales Design (Nr. ________) mit Schutzwirkung für die Schweiz (nachfolgend: Schweizer Design) und für die EU (nachfolgend: EU Design). Ab Ende 2012 führten die Beklagte und Herr F.________, einzelzeichnungsberechtigter Verwaltungsratspräsident der Klä- gerin, eine Liebesbeziehung. Die Beziehung endete Mitte Februar 2016, woraufhin die Klägerin auch den «Freelancer-Auftrag» mit der E.________ AG fristlos kündigte. Die Klägerin ist der Ansicht, dass das Recht am Design Nr. ________ ihr zusteht.</w:t>
      </w:r>
    </w:p>
    <w:p>
      <w:r>
        <w:rPr>
          <w:b/>
        </w:rPr>
        <w:t>E. 2</w:t>
      </w:r>
    </w:p>
    <w:p>
      <w:r>
        <w:t>Die Beklagte sei unter Strafandrohung von Art. 292 StGB für den Fall der Nichterfül- lung zu verpflichten, den EU-Anteil der internationalen Designregistrierung Nr. ________ innert 10 Arbeitstagen auf die Klägerin zu übertragen und die Registrie- rung dieser Übertragung innert derselben Frist beim [recte: bei] der OMPI zu beantra- gen.</w:t>
      </w:r>
    </w:p>
    <w:p>
      <w:r>
        <w:rPr>
          <w:b/>
        </w:rPr>
        <w:t>E. 3</w:t>
      </w:r>
    </w:p>
    <w:p>
      <w:r>
        <w:t>Die Beklagte reichte am 8. März 2019 (Eingang beim Handelsgericht am 12. März 2019) ihre Klageantwort ein. Sie stellte folgende Rechtsbegehren (pag. 52):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