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HG 2015 39 vom 17. Juni 2015</w:t>
      </w:r>
    </w:p>
    <w:p>
      <w:r>
        <w:t>BE Obergericht, 2015-06-17, DE</w:t>
      </w:r>
    </w:p>
    <w:p>
      <w:r>
        <w:rPr>
          <w:b/>
        </w:rPr>
        <w:t xml:space="preserve">Quelle: </w:t>
      </w:r>
      <w:r>
        <w:t>https://mcp.opencaselaw.ch/entscheid/be_zivilstraf_HG_2015_39</w:t>
      </w:r>
    </w:p>
    <w:p>
      <w:r>
        <w:t>FR: BE_ZIVILSTRAF HG 2015 39 du 17 juin 2015</w:t>
      </w:r>
    </w:p>
    <w:p>
      <w:r>
        <w:t>IT: BE_ZIVILSTRAF HG 2015 39 del 17 giugno 2015</w:t>
      </w:r>
    </w:p>
    <w:p>
      <w:pPr>
        <w:pStyle w:val="Heading2"/>
      </w:pPr>
      <w:r>
        <w:t>Regeste</w:t>
      </w:r>
    </w:p>
    <w:p>
      <w:r>
        <w:t>Begriff des Urhebers, Werkbegriff, Verwertung fremder Leistungen | Lauterkeitsrecht</w:t>
      </w:r>
    </w:p>
    <w:p>
      <w:pPr>
        <w:pStyle w:val="Heading2"/>
      </w:pPr>
      <w:r>
        <w:t>Erwägungen</w:t>
      </w:r>
    </w:p>
    <w:p>
      <w:r>
        <w:rPr>
          <w:b/>
        </w:rPr>
        <w:t>E. 17</w:t>
      </w:r>
    </w:p>
    <w:p>
      <w:r>
        <w:t>Die Aktivlegitimation im Bereich des Urheberrechts kommt üblicherweise dem Schutzrechtsinhaber zu (Art. 9 URG). Unter Umständen kann auch der Lizenznehmer aktivlegitimiert sein (vgl. dazu BARBARA K. MÜLLER, a.a.O., N 39 zu Vorbemerkungen zu Art. 61-66 URG), was vorliegend jedoch nicht weiter relevant ist, da die Gesuchstellerin klar als Urheberin und nicht als Lizenznehmerin auftritt. Dementsprechend ist in der Folge zu prüfen, ob die Gesuchstellerin glaubhaft machen konnte, dass sie Urheberin der umstrittenen Fragen zur Theorieprüfung für […] wäre, wenn diese als Werk zu qualifizieren wären.</w:t>
      </w:r>
    </w:p>
    <w:p>
      <w:r>
        <w:rPr>
          <w:b/>
        </w:rPr>
        <w:t>E. 17.1</w:t>
      </w:r>
    </w:p>
    <w:p>
      <w:r>
        <w:t>Urheber ist grundsätzlich die natürliche Person, die das Werk geschaffen hat (sog. Schöpferprinzip; Art. 6 URG). Arbeitgeber oder juristische Personen, die als solche nicht schöpferisch tätig sind, können Urheberrechte nicht originär sondern nur derivativ erwerben (Art. 16 Abs. 1 URG). Der Arbeitgeber kann somit die mit dem Urheberrecht verbundenen Ausschliesslichkeitsrechte nur geltend machen, wenn er die Rechte an Arbeitnehmerschöpfungen durch Abtretung nach Art. 16 Abs. 1 URG erworben hat (BGE 136 III 225 E. 4.3 = Pra 99 (2010) Nr. 130, S. 859; DENIS BARRELET/WILLI EGLOFF, Das neue Urheberrecht – Kommentar zum Bundesgesetz über das Urheberrecht und verwandte Schutzrechte, 3. A. 2008, N 2 zu Art. 6 URG; MANFRED REHBINDER, Schweizerisches Urheberrecht, 3. A. 2000, N 108 f.). […]</w:t>
      </w:r>
    </w:p>
    <w:p>
      <w:r>
        <w:rPr>
          <w:b/>
        </w:rPr>
        <w:t>E. 17.4</w:t>
      </w:r>
    </w:p>
    <w:p>
      <w:r>
        <w:t>Sollten die Fragen zur Theorieprüfung für […] ein Werk darstellen, so hätten die Mitglieder der Arbeitsgruppe mit der Schöpfung originär die Urheberrechte daran erworben (Art. 6 URG). Die Gesuchstellerin ist somit nur aktivlegitimiert, wenn sie die potentiellen Urheberrechte derivativ erworben hat (Art. 16 Abs. 1 URG). Dazu genügt es nicht, dass die einzelnen Schöpfer in einem Arbeits- oder Auftragsverhältnis zur Gesuchstellerin standen und vollumfänglich für ihre Arbeit entschädigt wurden. Die Schaffung eines Werks im Rahmen eines Anstellungsverhältnisses hindert den Arbeitnehmer nicht an der Erlangung des Urheberstatus (BGE 136 III 225 E. 4.3 = Pra 99 (2010) Nr. 130 S. 859). Es liegt somit eine Ausnahme vom Grundsatz gemäss Art. 321b Abs. 2 OR, wonach Arbeitsergebnisse automatisch auf den Arbeitsgeber übergehen, vor. Um Urheberrechte auf den Arbeit- respektive Auftraggeber zu übertragen, braucht es eine ausdrückliche oder konkludente Vereinbarung. Eine ausdrückliche Übertragung allfälliger Urheberrechte wird vorliegend von der Gesuchstellerin nicht geltend gemacht und ergibt sich auch nicht aus den eingereichten Unterlagen.</w:t>
      </w:r>
    </w:p>
    <w:p>
      <w:r>
        <w:t>Es bleibt zu prüfen, ob die Gesuchstellerin eine konkludente Übertragung der möglichen Urheberrechte rechtsgenüglich dargelegt hat. Dabei genügt es nicht, dass sie die Übertragung behauptet, denn auch in Verfahren wie dem vorliegenden – in welchen das reduzierte Beweismass des Glaubhaftmachens genügt (vgl. Art. 261 ZPO) – hat die gesuchstellende Partei die rechtsbegründenden Tatsachen substanziiert darzulegen (vgl. zum Beweismass des Glaubhaftmachens BGE 139 III 86 E. 4.2 S. 91). In casu hat die Gesuchstellerin insbesondere nicht dargelegt, wer im Einzelnen Miturheber der umstrittenen Theoriefragen zur […]prüfung ist. Aus den Gesuchbeilagen ergibt sich zwar mehr oder weniger, wer in besagter Arbeitsgruppe mitgearbeitet hat (vgl. GB 5a), nicht aber, wer in die Erarbeitung der Fragen auf welche Weise involviert war. Ausserdem hat die Gesuchstellerin nicht glaubhaft gemacht, dass alle Beteiligten in einem Arbeits- oder Auftragsverhältnis zu ihr stehen. Insbesondere bei den Vertretern der verschiedenen […]ämter ([…]; vgl. GB 5a) bestehen bedeutende Zweifel, dass diese in einem vertraglichen Verhältnis zur Gesuchstellerin stehen. Entsprechende Verträge hat diese denn auch keine eingereicht. Aus den Protokollen der Sitzungen der Arbeitsgruppe sowie den weiteren eingereichten Belegen (insbesondere der Vereinsstatuten; GB 3) ergeben sich ebenfalls keine Hinweise darauf, dass allfällige Urheberrechte auf die Gesuchstellerin übertragen wurden bzw. dass diese Frage überhaupt thematisiert wurde (GB 5a-5d, 9).</w:t>
      </w:r>
    </w:p>
    <w:p>
      <w:r>
        <w:rPr>
          <w:b/>
        </w:rPr>
        <w:t>E. 17.5</w:t>
      </w:r>
    </w:p>
    <w:p>
      <w:r>
        <w:t>Aufgrund dessen bestehen heute wesentliche Zweifel an einer Übertragung der potenziellen Urheberrechte auf die Gesuchstellerin. Die Übertragung wurde damit nicht glaubhaft gemacht. Das Gericht geht vielmehr davon aus, dass die potenziellen Urheberrechte weiterhin bei den natürlichen Personen sind, welche das mögliche Werk geschaffen haben. Das Gesuch um Erlass vorsorglicher Massnahmen ist somit bereits aufgrund der mangelnden Aktivlegitimation der Gesuchstellerin abzuweisen.</w:t>
      </w:r>
    </w:p>
    <w:p>
      <w:r>
        <w:rPr>
          <w:b/>
        </w:rPr>
        <w:t>E. 18</w:t>
      </w:r>
    </w:p>
    <w:p>
      <w:r>
        <w:t>Im Übrigen ist das Gesuch auch abzuweisen, weil die Gesuchstellerin das Vorliegen eines schutzfähigen Werkes nicht glaubhaft machen konnte. Darauf wird nachfolgend detailliert eingegangen.</w:t>
      </w:r>
    </w:p>
    <w:p>
      <w:r>
        <w:rPr>
          <w:b/>
        </w:rPr>
        <w:t>E. 18.1</w:t>
      </w:r>
    </w:p>
    <w:p>
      <w:r>
        <w:t>Werke im Sinne des Urheberrechtsgesetz sind geistige Schöpfungen der Literatur und Kunst, die einen individuellen Charakter haben (Art. 2 Abs. 1 URG). Die Schöpfung des Werkes muss auf menschlichem Willen beruhen und Ausdruck einer Gedankenäusserung sein (BGE 130 III 168 E. 4.5 S. 172 f.). An das Mass der geistigen Tätigkeit werden jedoch keine hohen Anforderungen gestellt (DENIS BARRELET/WILLI EGLOFF, a.a.O., N 6 zu Art. 2 URG). Die geistige Schöpfung muss weiter den Bereichen Literatur und Kunst angehören. Diese Begriffe werden in einem extrem weiten Sinne verstanden, sodass sich daraus kaum Einschränkungen ergeben (vgl. bspw. Art. 2 Abs. 2 lit. a URG: dazu gehören auch wissenschaftliche Texte; vgl. dazu auch DENIS BARRELET/WILLI EGLOFF, a.a.O., N 7 zu Art. 2 URG). Das entscheidende Kriterium liegt in der Individualität (vgl. dazu DENIS BARRELET/WILLI EGLOFF, a.a.O., N 8 zu Art. 2 URG). Schutzwürdig ist ein Werk nur, wenn es den Stempel einer schöpferischen Tätigkeit trägt, wobei der individuelle Charakter im Werk selber zum Ausdruck kommen muss (BGE 136 III 225 E. 4.2 =</w:t>
      </w:r>
    </w:p>
    <w:p>
      <w:r>
        <w:t>Pra 99 (2010) Nr. 130, S. 859; BGE 130 III 168 E. 4.4 S. 172; DENIS BARRELET/WILLI EGLOFF, a.a.O., N 8 zu Art. 2 URG). Das verlangte individuelle Gepräge hängt vom Spielraum des Schöpfers ab. Der Urheber muss den vorhandenen gestalterischen Spielraum ausnützen, um persönliche Entscheidungen zu treffen, die dem Werk seine Individualität verleihen (IVAN CHERPILLOD, in: Müller/Oertli [Hrsg.], Urheberrechtsgesetz (URG), 2. A. 2012, N 21 zu Art. 2 URG). Bei Schöpfungen, bei denen die Funktion oder die Bestimmung den Gestaltungsspielraum begrenzt, genügt bereits ein geringer Grad an individuellem Charakter (vgl. bspw. BGE 136 III 225 E. 4.2 = Pra 99 (2010) Nr. 130, S. 859). Nicht genügend individuell sind banale und alltägliche Schöpfungen. Die Werkgestaltung muss sich vielmehr vom Üblichen abheben, so dass es unwahrscheinlich erscheint, dass bei gleicher Aufgabenstellung von einem Dritten das gleiche oder im Wesentlichen gleiche Werk geschaffen würde (statistische Einmaligkeit; BGE 134 III 166 E. 2.5 S. 173; BGE 136 III 225 E. 5.2 = Pra 99 (2010) Nr. 130 S. 859). Ist ein Text zwar statistisch einmalig, erscheint aber insgesamt doch als banale Zusammenstellung von Alltagsredewendungen oder als durch Sachlogik vorgegeben, so ist der Schutz ausgeschlossen (BGE 134 III 166 E. 2.5 S. 173). Bei Fotografien kann der individuelle Charakter in vielen verschiedenen Aspekten liegen, wie beispielsweise in der Bildkomposition, in der Lichtgestaltung, in der Bearbeitung des Negativs bei der Entwicklung, sowie auch in der Auswahl des fotografierten Objekts (BGE 130 III 168 E. 4.3 S. 171 f.; DENIS BARRELET/WILLI EGLOFF, a.a.O., N 19 zu Art. 2 URG). Zur Beurteilung der Werkqualität von Fotografien wird insbesondere das Kriterium der statistischen Einmaligkeit herangezogen. Diese ist zu bejahen, wenn im Bild etwas Besonderes zum Ausdruck kommt und davon ausgegangen werden kann, dass andere Personen das Bild bei gleicher Aufgabenstellung anders gestalten würden. Massgebend ist, dass es sich nicht einfach um einen Schnappschuss – durch banales mechanisches Knipsen entstanden – handelt, sondern ein entsprechender Gestaltungswille des Fotografen zum Ausdruck kommt (vgl. zur Beurteilung der Werkqualität von Fotografien BGE 130 III 168 E. 4.3 S. 171). […]</w:t>
      </w:r>
    </w:p>
    <w:p>
      <w:r>
        <w:rPr>
          <w:b/>
        </w:rPr>
        <w:t>E. 18.5</w:t>
      </w:r>
    </w:p>
    <w:p>
      <w:r>
        <w:t>Bei den Fragen und Antworten handelt es sich um potentielle Sprachwerke (Art. 2 Abs. 2 lit. a URG), bei den Bildern gegebenenfalls um fotografische Werke (Art. 2 Abs. 2 lit. g URG). Sowohl bei den Fragen und Antworten sowie bei den Bildern kann das Vorliegen einer geistigen Schöpfung der Literatur und Kunst bejaht werden. Es fehlt jedoch sowohl hinsichtlich der Bilder wie auch hinsichtlich der Fragen und Antworten an der genügenden Individualität. Dies aus nachfolgenden Gründen: Die einzelnen Bilder stellen Alltagsaufnahmen dar, welche keine statistische Einmaligkeit besitzen. Gibt man mehreren Personen den Auftrag, Bilder zu machen, welche zu den Fragen passen, wird die Mehrheit der Bilder ähnlich aussehen, wie die Bilder der Gesuchstellerin. Weder die Bildkomposition noch die Ausschnitte oder die Bildbearbeitung sind etwas Besonderes. Bei den Bildern handelt es sich vielmehr um</w:t>
      </w:r>
    </w:p>
    <w:p>
      <w:r>
        <w:t>banale Darstellungen verschiedener […]situationen. Aufgrund dessen ist die Werkqualität der Bilder zu verneinen. Auch die Werkqualität der einzelnen Fragen muss verneint werden. Aus dem […]gesetz lassen sich eine Reihe von möglichen Prüfungsfragen ableiten und diese wiederum lassen sich jeweils mit verschiedenen logischen Antwortmöglichkeiten verknüpfen. Auch hier wird es bei mehreren Personen kaum grosse Unterschiede in den Resultaten geben. Damit fehlt auch den Fragen die nötige Individualität sowie die statistische Einmaligkeit. Vielmehr handelt es sich um eine banale Zusammenstellung möglicher Theorieprüfungsfragen, welche durch Sachlogik vorgegeben sind.</w:t>
      </w:r>
    </w:p>
    <w:p>
      <w:r>
        <w:rPr>
          <w:b/>
        </w:rPr>
        <w:t>E. 18.6</w:t>
      </w:r>
    </w:p>
    <w:p>
      <w:r>
        <w:t>Als letztes bleibt zu prüfen, ob die umstrittenen Fragen zur […]prüfung ein Sammelwerk darstellen (Art. 4 URG). Bei einem Sammelwerk müssen sich Individualität und geistige Schöpfung in der Auswahl und Anordnung widerspiegeln (DENIS BARRELET/WILLI EGLOFF, a.a.O., N 4 zu Art. 4 URG). Es kann sich dabei um eine Sammlung von (geschützten oder nicht geschützten) Werken oder aber auch um eine Zusammenstellung von nicht geschützten Angaben handeln (IVAN CHERPILLOD, a.a.O., N 1 zu Art. 4 URG).</w:t>
      </w:r>
    </w:p>
    <w:p>
      <w:r>
        <w:rPr>
          <w:b/>
        </w:rPr>
        <w:t>E. 18.7</w:t>
      </w:r>
    </w:p>
    <w:p>
      <w:r>
        <w:t>Wie bereits erwähnt, befindet sich das Lizenzmaterial der Gesuchstellerin auf einer CD-Rom. Es besteht aus vielen einzelnen Fotos sowie einer Excel-Tabelle mit Fragen und Antworten. Des Weiteren gibt es eine Anleitung, wie die entsprechenden Elemente zusammengesetzt werden können. Es handelt sich somit vorliegend nicht um eine fixfertige Zusammenstellung von Fragen und Antworten mit entsprechendem Bildmaterial, sondern vielmehr um Grundlagenmaterial um Lernsoftwares zusammenzustellen. Demnach besteht auch keine individuelle Auswahl und Anordnung der einzelnen Elemente. Vielmehr werden alle Fragen in einer Excel-Liste in banaler Weise aufgelistet und die einzelnen Bilder separat in einem Ordner abgespeichert. Damit gibt es kein individuelles Layout und keine individuelle Darstellung. Auch die Reihenfolge der Fragen scheint nicht bewusst gewählt worden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