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90 vom 19. Mai 2025</w:t>
      </w:r>
    </w:p>
    <w:p>
      <w:r>
        <w:t>BE Obergericht, 2025-05-19, FR</w:t>
      </w:r>
    </w:p>
    <w:p>
      <w:r>
        <w:rPr>
          <w:b/>
        </w:rPr>
        <w:t xml:space="preserve">Quelle: </w:t>
      </w:r>
      <w:r>
        <w:t>https://mcp.opencaselaw.ch/entscheid/be_zivilstraf_BK_2025_90</w:t>
      </w:r>
    </w:p>
    <w:p>
      <w:r>
        <w:t>FR: BE_ZIVILSTRAF BK 2025 90 du 19 mai 2025</w:t>
      </w:r>
    </w:p>
    <w:p>
      <w:r>
        <w:t>IT: BE_ZIVILSTRAF BK 2025 90 del 19 maggio 2025</w:t>
      </w:r>
    </w:p>
    <w:p>
      <w:pPr>
        <w:pStyle w:val="Heading2"/>
      </w:pPr>
      <w:r>
        <w:t>Regeste</w:t>
      </w:r>
    </w:p>
    <w:p>
      <w:r>
        <w:t>levée de séquestre; procédure pénale pour abus de confiance, escroquerie et falsification de marchandises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der angefochtene Entscheid aufzuheben und zu neuer Entscheidung an die Vorinstanz zurückzuweisen;</w:t>
      </w:r>
    </w:p>
    <w:p>
      <w:r>
        <w:rPr>
          <w:b/>
        </w:rPr>
        <w:t>E. 1.1</w:t>
      </w:r>
    </w:p>
    <w:p>
      <w:r>
        <w:t>Le 20 juillet 2023, le Ministère public région Jura bernois-Seeland (ci-après : le Ministère public) a ouvert une instruction pénale contre A.________ (ci-après : le prévenu) pour abus de confiance, escroquerie et falsification de marchandises.</w:t>
      </w:r>
    </w:p>
    <w:p>
      <w:r>
        <w:rPr>
          <w:b/>
        </w:rPr>
        <w:t>E. 1.2</w:t>
      </w:r>
    </w:p>
    <w:p>
      <w:r>
        <w:t>Par ordonnance du 14 septembre 2023, le Ministère public a ordonné, en application de l’art. 263 al. 1 du Code de procédure pénale (CPP ; RS 312.0) en relation avec l’art. 70 CP, le blocage du compte privé E.________ du prévenu.</w:t>
      </w:r>
    </w:p>
    <w:p>
      <w:r>
        <w:rPr>
          <w:b/>
        </w:rPr>
        <w:t>E. 1.3</w:t>
      </w:r>
    </w:p>
    <w:p>
      <w:r>
        <w:t>Par ordonnance du 13 février 2025, le Ministère public a ordonné la levée totale du séquestre portant sur le compte précité.</w:t>
      </w:r>
    </w:p>
    <w:p>
      <w:r>
        <w:rPr>
          <w:b/>
        </w:rPr>
        <w:t>E. 1.4</w:t>
      </w:r>
    </w:p>
    <w:p>
      <w:r>
        <w:t>Par acte du 24 février 2025, C.________ SA, demanderesse au pénal et au civil, a, par l’intermédiaire de Me D.________, recouru contre l’ordonnance précitée, prenant les conclusions suivantes : Rechtsbegehren</w:t>
      </w:r>
    </w:p>
    <w:p>
      <w:r>
        <w:rPr>
          <w:b/>
        </w:rPr>
        <w:t>E. 1.5</w:t>
      </w:r>
    </w:p>
    <w:p>
      <w:r>
        <w:t>Par ordonnance du 26 février 2025, le Président de la Chambre de recours pénale a ouvert une procédure de recours et a notifié une copie du recours au Parquet général ainsi qu’au prévenu. Il a également admis la requête tendant à l’octroi de l’effet suspensif.</w:t>
      </w:r>
    </w:p>
    <w:p>
      <w:r>
        <w:rPr>
          <w:b/>
        </w:rPr>
        <w:t>E. 1.6</w:t>
      </w:r>
    </w:p>
    <w:p>
      <w:r>
        <w:t>Par ordonnance du 3 mars 2025, il a été pris et donné acte que le Ministère public a remis le dossier BJS 23 16184 à la Chambre de céans pour consultation et un délai de 20 jours a été imparti au Parquet général ainsi qu’au prévenu pour prendre position sur le recours.</w:t>
      </w:r>
    </w:p>
    <w:p>
      <w:r>
        <w:rPr>
          <w:b/>
        </w:rPr>
        <w:t>E. 1.7</w:t>
      </w:r>
    </w:p>
    <w:p>
      <w:r>
        <w:t>Par courrier du 3 avril 2025, le Parquet général a fait parvenir sa prise de position et a pris les conclusions suivantes :</w:t>
      </w:r>
    </w:p>
    <w:p>
      <w:r>
        <w:rPr>
          <w:b/>
        </w:rPr>
        <w:t>E. 2</w:t>
      </w:r>
    </w:p>
    <w:p>
      <w:r>
        <w:t>Der vorliegenden Verfügung sei die aufschiebende Wirkung zu erteilen; Eventuell:</w:t>
      </w:r>
    </w:p>
    <w:p>
      <w:r>
        <w:rPr>
          <w:b/>
        </w:rPr>
        <w:t>E. 3</w:t>
      </w:r>
    </w:p>
    <w:p>
      <w:r>
        <w:t>Der unterzeichnende Anwalt legitimiert sich mit Anwaltsvollmacht vom 14. August 2023.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