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BE_ZIVILSTRAF BK 2024 433 vom 6. November 2024</w:t>
      </w:r>
    </w:p>
    <w:p>
      <w:r>
        <w:t>BE Obergericht, 2024-11-06, FR</w:t>
      </w:r>
    </w:p>
    <w:p>
      <w:r>
        <w:rPr>
          <w:b/>
        </w:rPr>
        <w:t xml:space="preserve">Quelle: </w:t>
      </w:r>
      <w:r>
        <w:t>https://mcp.opencaselaw.ch/entscheid/be_zivilstraf_BK_2024_433</w:t>
      </w:r>
    </w:p>
    <w:p>
      <w:r>
        <w:t>FR: BE_ZIVILSTRAF BK 2024 433 du 6 novembre 2024</w:t>
      </w:r>
    </w:p>
    <w:p>
      <w:r>
        <w:t>IT: BE_ZIVILSTRAF BK 2024 433 del 6 novembre 2024</w:t>
      </w:r>
    </w:p>
    <w:p>
      <w:pPr>
        <w:pStyle w:val="Heading2"/>
      </w:pPr>
      <w:r>
        <w:t>Regeste</w:t>
      </w:r>
    </w:p>
    <w:p>
      <w:r>
        <w:t>détention pour motifs de sûreté ; procédure pénale pour lésions corporelles simples, infraction à la LCR, contrainte etc. | ZMG Haft (393-c)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En date du 16 août 2024, le Ministère public région Jura bernois-Seeland (ci- après : le Ministère public) a rendu une ordonnance pénale à l’encontre de A.________ (ci-après : le recourant ou le prévenu). Il l’a reconnu coupable de lésions corporelles simples, d’infraction à la loi sur la circulation routière (LCR ; RS 741.01), de contrainte (stalking), d’injures, de voies de fait et d’insoumissions à une décision de l’autorité et l’a condamné à une peine pécuniaire de 150 jours-amende avec sursis pendant deux ans, celui-ci étant assorti de règles de conduite. Le recourant a fait opposition à cette ordonnance pénale. Le dossier a alors été transmis au Tribunal régional Jura bernois-Seeland (ci-après : le Tribunal régional) et le Ministère public a requis du Tribunal cantonal des mesures de contrainte que les mesures de substitution prononcées soient prolongées, ce qu’il a fait par décision du 6 septembre 2024.</w:t>
      </w:r>
    </w:p>
    <w:p>
      <w:r>
        <w:rPr>
          <w:b/>
        </w:rPr>
        <w:t>E. 2</w:t>
      </w:r>
    </w:p>
    <w:p>
      <w:r>
        <w:t>Suite à une nouvelle plainte déposée par l’ex-compagne du recourant, le Tribunal régional a alors requis du Tribunal régional des mesures de contrainte Jura bernois-Seeland (ci-après : le TMC) qu’il ordonne la détention pour des motifs de sûreté du prévenu.</w:t>
      </w:r>
    </w:p>
    <w:p>
      <w:r>
        <w:rPr>
          <w:b/>
        </w:rPr>
        <w:t>E. 3</w:t>
      </w:r>
    </w:p>
    <w:p>
      <w:r>
        <w:t>Par décision du 17 octobre 2024, le TMC a prononcé la mise en détention pour des motifs de sûreté du prévenu pour une durée de 3 mois, soit jusqu’au 14 janvier 2025, en raison d’un risque de récidive. Il a laissé ouvertes les questions du risque de récidive qualifié et de passage à l’acte.</w:t>
      </w:r>
    </w:p>
    <w:p>
      <w:r>
        <w:rPr>
          <w:b/>
        </w:rPr>
        <w:t>E. 4</w:t>
      </w:r>
    </w:p>
    <w:p>
      <w:r>
        <w:t>Par courrier daté du 28 octobre 2024, reçu le lendemain, le prévenu, par l’intermédiaire de Me B.________, a formé recours à l’encontre de la décision précitée. Il a pris les conclusions suivantes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