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212 vom 15. Oktober 2024</w:t>
      </w:r>
    </w:p>
    <w:p>
      <w:r>
        <w:t>BE Obergericht, 2024-10-15, DE</w:t>
      </w:r>
    </w:p>
    <w:p>
      <w:r>
        <w:rPr>
          <w:b/>
        </w:rPr>
        <w:t xml:space="preserve">Quelle: </w:t>
      </w:r>
      <w:r>
        <w:t>https://mcp.opencaselaw.ch/entscheid/be_zivilstraf_BK_2024_212</w:t>
      </w:r>
    </w:p>
    <w:p>
      <w:r>
        <w:t>FR: BE_ZIVILSTRAF BK 2024 212 du 15 octobre 2024</w:t>
      </w:r>
    </w:p>
    <w:p>
      <w:r>
        <w:t>IT: BE_ZIVILSTRAF BK 2024 212 del 15 ottobre 2024</w:t>
      </w:r>
    </w:p>
    <w:p>
      <w:pPr>
        <w:pStyle w:val="Heading2"/>
      </w:pPr>
      <w:r>
        <w:t>Regeste</w:t>
      </w:r>
    </w:p>
    <w:p>
      <w:r>
        <w:t>Wiederherstellung | Andere Verfügungen StA, Polizei (393-a)</w:t>
      </w:r>
    </w:p>
    <w:p>
      <w:pPr>
        <w:pStyle w:val="Heading2"/>
      </w:pPr>
      <w:r>
        <w:t>Erwägungen</w:t>
      </w:r>
    </w:p>
    <w:p>
      <w:r>
        <w:rPr>
          <w:b/>
        </w:rPr>
        <w:t>E. 1</w:t>
      </w:r>
    </w:p>
    <w:p>
      <w:r>
        <w:t>Mit Verfügung vom 8. Mai 2024 wies die Regionale Staatsanwaltschaft Bern- Mittelland (nachfolgend: Staatsanwaltschaft) das Gesuch der Beschuldigten um Wiederherstellung der Einsprachefrist betreffend Strafbefehl vom 30. Dezember 2023 (Ziffer 1) sowie ihr Gesuch um Beiordnung einer amtlichen Verteidigung ab (Ziffer 2). Mit Eingabe vom 17. Mai 2024 reichte die Beschuldigte (nachfolgend: Beschwerdeführerin) Beschwerde gegen diese Verfügung ein und beantragte die Wiederherstellung der Einsprachefrist. Die Generalstaatsanwaltschaft beantragte die Abweisung der Beschwerde.</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 Art. 35 des Gesetzes über die Organisation der Gerichtsbehörden und der Staatsanwaltschaft [GSOG; BSG 161.1] i.V.m. Art. 29 Abs. 2 des Organisationsreglements des Obergerichts [OrR OG; BSG 162.11]). Die Beschwerdeführerin ist durch Abweisung des Wiederherstellungsgesuchs unmittelbar in ihren rechtlich geschützten Interessen betroffen und zur Beschwerdeführung legitimiert (Art. 382 Abs. 1 StPO). Nicht Gegenstand im Beschwerdeverfahren ist die inhaltliche Überprüfung des Strafbefehls, weshalb insofern auf die Vorbringen der Beschwerdeführerin (der Unfallhergang werde falsch dargelegt) nicht eingetreten werden kann. Mangels Anfechtung ist zudem das Gesuch um Beiordnung einer amtlichen Verteidigung ebenfalls nicht mehr Gegenstand des Beschwerdeverfahrens.</w:t>
      </w:r>
    </w:p>
    <w:p>
      <w:r>
        <w:rPr>
          <w:b/>
        </w:rPr>
        <w:t>E. 3</w:t>
      </w:r>
    </w:p>
    <w:p>
      <w:r>
        <w:t>Mit Strafbefehl der Staatsanwaltschaft vom 30. Dezember 2023 wurde die Be- schwerdeführerin wegen fahrlässiger schwerer Körperverletzung sowie Widerhand- lungen gegen das Strassenverkehrsgesetz schuldig erklärt und mit einer Geldstrafe von 90 Tagessätzen zu je CHF 30.00 bestraft. Das Regionalgericht Bern-Mittelland verfügte am 8. April 2024, dass die Einsprache der Beschwerdeführerin gegen die- sen Strafbefehl verspätet eingereicht worden sei, und trat darauf nicht ein. Diese Verfügung ist rechtskräftig. In der Folge wies die Staatsanwaltschaft das Wieder- herstellungsgesuch ab.</w:t>
      </w:r>
    </w:p>
    <w:p>
      <w:r>
        <w:rPr>
          <w:b/>
        </w:rPr>
        <w:t>E. 4</w:t>
      </w:r>
    </w:p>
    <w:p>
      <w:r>
        <w:t>Eine Partei ist säumig, wenn sie eine Verfahrenshandlung nicht fristgerecht vor- nimmt oder zu einem Termin nicht erscheint (Art. 93 StPO). Würde ihr aus der Säumnis ein erheblicher und unersetzlicher Rechtsverlust erwachsen, kann sie nach Art. 94 Abs. 1 StPO die Wiederherstellung der Frist verlangen, wobei sie glaubhaft zu machen hat, dass sie an der Säumnis kein Verschulden trifft. Das Ge- such ist innert 30 Tagen nach Wegfall des Säumnisgrundes schriftlich und begrün- det bei der Behörde zu stellen, bei welcher die versäumte Verfahrenshandlung hät- te vorgenommen werden sollen. Innert der gleichen Frist muss die versäumte Ver- fahrenshandlung nachgeholt werden (Art. 94 Abs. 2 StPO). Die gesuchstellende Partei hat dabei glaubhaft zu machen, dass sie an der Säum- nis kein Verschulden trifft. Nach ständiger Rechtsprechung kann die Wiederherstel- lung nur bei klarer Schuldlosigkeit gewährt werden. Jedes Verschulden einer Par-</w:t>
      </w:r>
    </w:p>
    <w:p>
      <w:r>
        <w:t>3 tei, ihres Vertreters oder beigezogener Hilfspersonen, so geringfügig es sein mag, schliesst die Wiederherstellung aus. Unverschuldet ist die Säumnis nur, wenn sie durch einen Umstand eingetreten ist, der nach den Regeln vernünftiger Interes- senwahrung auch von einer sorgsamen Person nicht befürchtet werden muss oder dessen Abwendung übermässige Anforderungen gestellt hätte. Allgemein wird vor- ausgesetzt, dass es in der konkreten Situation unmöglich war, die Frist zu wahren oder jemanden damit zu betrauen. Bei Versäumnis gesetzlicher Fristen sind stren- gere Anforderungen zu stellen (Urteil des Bundesgerichts 6B_954/2023 vom 27. März 2024 E. 2.2.1).</w:t>
      </w:r>
    </w:p>
    <w:p>
      <w:r>
        <w:rPr>
          <w:b/>
        </w:rPr>
        <w:t>E. 5</w:t>
      </w:r>
    </w:p>
    <w:p>
      <w:r>
        <w:t>Die Beschwerdeführerin macht geltend, sie sei infolge Krankheit (wegen starker Grippe ans Bett gebunden) nicht in der Lage gewesen, die Frist zu wahren. Als Bei- lage reichte sie zwei Arbeitsunfähigkeitszeugnisse vom 1. sowie 20. März 2024 ein, welche ihr eine ganztägige Arbeitsunfähigkeit wegen Krankheit für den Zeitraum vom 3. bis 22. Januar 2024 bescheinigen. Ein Krankheitszustand bildet nach ständiger Rechtsprechung des Bundesgerichts ein zur Wiederherstellung führendes Hindernis, wenn und solange die Krankheit jegliches auf die Fristwahrung gerichtetes Handeln verunmöglicht. Die Krankheit muss dabei derart sein, dass sie den Rechtssuchenden davon abhält, selbst innert Frist zu handeln oder eine Drittperson mit der Vornahme der Prozesshandlung zu betrauen. Dass es sich so verhält, ist durch ein einschlägiges Arztzeugnis zu bele- gen, wobei die blosse Bestätigung des Krankheitsstandes und regelmässig selbst einer vollständigen Arbeitsunfähigkeit zur Anerkennung eines Hindernisses nicht genügt (vgl. Urteil des Bundesgerichts 6B_210/2024 vom 2. Juli 2024 E. 2.4 mit weiteren Hinweisen). Mit Blick auf diese bundesgerichtliche Rechtsprechung reicht die Behauptung der Beschwerdeführerin, sie sei wegen einer starken Grippe ans Bett gebunden gewe- sen, auch unter Berücksichtigung der Arbeitsunfähigkeitszeugnisse nicht aus, um glaubhaft zu machen, es treffe sie an der Säumnis kein Verschulden. Die beschei- nigte Arbeitsunfähigkeit bedeutet nicht automatisch, dass sie nicht mehr in der La- ge gewesen ist, ihre Post durchzusehen oder zumindest jemanden damit zu beauf- tragen. Zudem ergeben sich keine Hinweise, dass die Beschwerdeführerin auch nach dem 22. Januar 2024 noch arbeitsunfähig gewesen ist, weshalb davon aus- gegangen werden kann, es sei ihr zumindest in den Tagen zuvor schon entspre- chend besser gegangen. In Übereinstimmung mit der Staats- bzw. Generalstaats- anwaltschaft macht die Beschwerdeführerin jedenfalls nicht glaubhaft, dass es ihr während der ganzen Zeit vom 3. bis 22. Januar 2024 geradezu unmöglich gewesen wäre, selbst oder durch eine Vertretung Einsprache zu erheben, zumal die Ein- sprache nicht begründet werden muss, sondern die Unterschrift ausreicht. Bei die- ser Ausgangslage wurde der Beschwerdeführerin die Wiederherstellung zu Recht nicht gewährt. Die Beschwerde ist abzuweisen, soweit darauf eingetreten werden kann.</w:t>
      </w:r>
    </w:p>
    <w:p>
      <w:r>
        <w:rPr>
          <w:b/>
        </w:rPr>
        <w:t>E. 6</w:t>
      </w:r>
    </w:p>
    <w:p>
      <w:r>
        <w:t>Bei diesem Ausgang des Verfahrens sind die Kosten des Beschwerdeverfahrens, bestimmt auf CHF 800.00, der unterliegenden Beschwerdeführerin aufzuerlegen</w:t>
      </w:r>
    </w:p>
    <w:p>
      <w:r>
        <w:t>4 (Art. 428 Abs. 1 StPO). Zufolge ihres Unterliegens hat sie keinen Anspruch auf eine Entschädigung.</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