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535 vom 12. März 2024</w:t>
      </w:r>
    </w:p>
    <w:p>
      <w:r>
        <w:t>BE Obergericht, 2024-03-12, DE</w:t>
      </w:r>
    </w:p>
    <w:p>
      <w:r>
        <w:rPr>
          <w:b/>
        </w:rPr>
        <w:t xml:space="preserve">Quelle: </w:t>
      </w:r>
      <w:r>
        <w:t>https://mcp.opencaselaw.ch/entscheid/be_zivilstraf_BK_2023_535</w:t>
      </w:r>
    </w:p>
    <w:p>
      <w:r>
        <w:t>FR: BE_ZIVILSTRAF BK 2023 535 du 12 mars 2024</w:t>
      </w:r>
    </w:p>
    <w:p>
      <w:r>
        <w:t>IT: BE_ZIVILSTRAF BK 2023 535 del 12 marzo 2024</w:t>
      </w:r>
    </w:p>
    <w:p>
      <w:pPr>
        <w:pStyle w:val="Heading2"/>
      </w:pPr>
      <w:r>
        <w:t>Regeste</w:t>
      </w:r>
    </w:p>
    <w:p>
      <w:r>
        <w:t>Einstellung | Einstellung/Nichtanhandnahme</w:t>
      </w:r>
    </w:p>
    <w:p>
      <w:pPr>
        <w:pStyle w:val="Heading2"/>
      </w:pPr>
      <w:r>
        <w:t>Erwägungen</w:t>
      </w:r>
    </w:p>
    <w:p>
      <w:r>
        <w:rPr>
          <w:b/>
        </w:rPr>
        <w:t>E. 1</w:t>
      </w:r>
    </w:p>
    <w:p>
      <w:r>
        <w:t>Am 19. September 2022 stellte die Einwohnergemeinde B.________ (nachfolgend: Beschwerdeführerin), vertreten durch die Gemeindeschreiberin C.________, Straf- antrag gegen A.________ (nachfolgend: Beschuldigter) wegen Sachbeschädigung, mutmasslich begangen in der Zeit vom 17. bis 19. September 2022 in B.________(Ortschaft). Dem Beschuldigten wird vorgeworfen, beim Primarschul- haus diverse Schriftzüge an Betonsäulen und Wände gesprayt zu haben. Mit Schreiben vom 8. und 21. November 2023 forderte die Staatsanwaltschaft die Be- schwerdeführerin auf, unter Bezeichnung der einschlägigen kommunalen Erlasse die nötigen Unterlagen nachzureichen, die belegten, dass C.________ zur Strafan- tragstellung im Namen der Einwohnergemeinde B.________ berechtigt sei. Nach- dem die Beschwerdeführerin dieser Aufforderung nachgekommen war, verfügte die Staatsanwaltschaft am 12. Dezember 2023, dass das Strafverfahren gegen den Beschuldigten mangels Vorliegens eines gültigen Strafantrags eingestellt werde. Dagegen erhob die Beschwerdeführerin am 28. Dezember 2023 bei der Beschwer- dekammer in Strafsachen des Obergerichts des Kantons Bern (nachfolgend: Be- schwerdekammer) Beschwerde. Sie beantragte darin sinngemäss die Aufhebung der Einstellungsverfügung vom 12. Dezember 2023 und die Weiterführung des Ver- fahrens durch die Staatsanwaltschaft. Im daraufhin von der Verfahrensleitung der Beschwerdekammer eröffneten Schriftenwechsel schloss die Generalstaatsanwalt- schaft mit Stellungnahme vom 17. Januar 2024 auf kostenfällige Abweisung der Beschwerde. Der Beschuldigte liess sich nicht vernehmen. Mit Verfügung vom</w:t>
      </w:r>
    </w:p>
    <w:p>
      <w:r>
        <w:rPr>
          <w:b/>
        </w:rPr>
        <w:t>E. 5</w:t>
      </w:r>
    </w:p>
    <w:p>
      <w:r>
        <w:t>Februar 2024 teilte die Verfahrensleitung den Parteien mit, dass auf die Anord- nung eines zweiten Schriftenwechsels verzichtet werde und allfällige abschliessen- de Bemerkungen umgehend einzureichen seien. Weitere Eingaben gingen in der Folge nicht mehr ein. 2. Einstellungsverfügungen können von den Parteien innert zehn Tagen bei der Be- schwerdekammer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Zur Beschwerdeführung berechtigt ist jede Partei, die ein rechtlich geschütztes Interesse an der Aufhebung oder Änderung eines Entscheids hat (Art. 382 Abs. 1 StPO). Partei ist u.a. die Privatklägerschaft (Art. 104 Abs. 1 Bst. b StPO). Obschon gemäss Formular «Strafantrag – Privatklage» vom 19. Sep- tember 2022 seitens der Beschwerdeführerin, vertreten durch die Gemeindeschrei- berin, unwiderruflich auf die Konstituierung als Privatklägerin verzichtet wurde (amt- liche Akten pag. 32), ist die Beschwerdelegitimation der Beschwerdeführerin zu be- jahen. Wie sich nachfolgend zeigt, stellt sich im vorliegenden Beschwerdeverfahren einzig die Frage, ob die Beschwerdeführerin rechtzeitig einen rechtsgültigen Straf- antrag gestellt hat. Sollte diese Frage verneint werden, wäre auch der von der Ge- meindeschreiberin unterzeichnete Verzicht (im Sinne von Art. 120 StPO) nicht gül- tig erfolgt. Auf die frist- und formgerecht eingereichte Beschwerde ist daher einzu- treten (Art. 104 Abs. Abs. 1 Bst. b i.V.m. Art. 118 Abs. 2 StPO resp. Art. 105 Abs. 1</w:t>
      </w:r>
    </w:p>
    <w:p>
      <w:r>
        <w:t>3 Bst. a StPO; RIEDO, in: Basler Kommentar, Strafrecht, 4. Aufl. 2019, N. 114 zu Art. 30 StGB). 3. 3.1 Aktenkundig stellte die Gemeindeschreiberin C.________ als Vertreterin der Ge- meinde B.________ (resp. der Beschwerdeführerin) am 19. September 2022 einen Strafantrag wegen einer im Zeitraum zwischen 17. September 2022 ca. 12.00 Uhr und 19. September 2022 ca. 07.45 Uhr begangenen Sachbeschädigung (amtliche Akten pag. 32). Nachdem die Beschwerdeführerin aufgefordert worden war, Unter- lagen hinsichtlich der Strafantragsberichtigung der Gemeindeschreiberin einzurei- chen, teilte diese der Staatsanwaltschaft am 23. November 2023 mit, dass sich die Gemeinde durch Kollektivunterschrift des Gemeindepräsidenten und des Gemein- deschreibers «verpflichte» (amtliche Akten pag. 79, auch zum Folgenden). Gleich- zeitig wies sie darauf hin, dass ihnen nicht bewusst gewesen sei, dass bereits für die Strafantragstellung am 19. September 2022 eine Kollektivunterschrift voraus- gesetzt gewesen sei. Der diesbezügliche Hinweis erfolge erst über ein Jahr später. Man nehme deshalb die Möglichkeit zur Nachbesserung des Strafantrags durch Unterzeichnung des Schreibens vom 23. November 2023 wahr. 3.2 Die Staatsanwaltschaft begründete die angefochtene Verfügung damit, dass die Beschwerdeführerin nicht zu belegen vermöge, dass die Gemeindeschreiberin am 19. September 2022 berechtigt gewesen sei, im Namen der Gemeinde durch Ein- zelunterschrift Strafantrag zu stellen. Die Beschwerdeführerin habe innert der ge- setzlichen Frist von drei Monaten keinen gültigen Strafantrag gegen den Beschul- digten gestellt. Nach Ablauf dieser gesetzlichen und damit nicht verlängerbaren Frist sei eine Nachbesserung ausgeschlossen. Mangels Vorliegens eines gültigen Strafantrags und damit einer Prozessvoraussetzung sei das Verfahren somit einzu- stellen. 3.3 Die Beschwerdeführerin hält demgegenüber dafür, dass der am 19. September 2022 erfolgte Strafantrag formgültig erfolgt sei, sei er doch rechtzeitig gestellt und der bedingungslose Wille zur Strafverfolgung des Täters zum Ausdruck gebracht worden. Gemäss Urteil des Bundesgerichts 6B_1237/2018 vom 15. Mai 2019 liege selbst dann ein gültiger Strafantrag vor, wenn ein solcher bloss in einem nicht un- terzeichneten Polizeirapport erwähnt werde. Abgesehen davon verfalle die Staats- anwaltschaft in überspitzten Formalismus, da die durch sie betriebene strikte An- wendung von Formvorschriften durch kein schutzwürdiges Interesse gerechtfertigt sei. Der Hinweis auf die allenfalls fehlende zweite Unterschrift sei erst rund 14 Mo- nate nach Unterzeichnung des Formulars «Strafantrag – Privatklage» erfolgt, so- dass eine Nachbesserung innert Frist gar nicht möglich gewesen sei. Mit ihrem kol- lektiv unterzeichneten Schreiben vom 23. November 2023 sei ein mögliches vor- gängiges Versäumnis korrigiert worden. Dabei habe es sich nicht etwa um eine nachträgliche Bevollmächtigung der Gemeindeschreiberin gehandelt, sondern um die Richtigstellung des Strafantrags vergleichbar mit der Behebung eines Kanzlei- fehlers.</w:t>
      </w:r>
    </w:p>
    <w:p>
      <w:r>
        <w:t>4 4. 4.1 Gemäss Art. 319 Abs. 1 Bst. d StPO verfügt die Staatsanwaltschaft die Einstellung des Verfahrens, wenn Prozessvoraussetzungen definitiv nicht erfüllt werden kön- nen oder Prozesshindernisse aufgetreten sind. Prozessvoraussetzung ist bei An- tragsdelikten (wie es die Sachbeschädigung gemäss Art. 144 Abs. 1 des Schweize- rischen Strafgesetzbuchs [StGB; SR 311.0] ist) der Strafantrag. Bei Fehlen eines gültigen Strafantrags fällt die Führung eines Strafverfahrens ausser Betracht (Art. 303 Abs. 1 StPO). Ist die Strafverfolgung bereits eröffnet worden, fehlt es aber an einem gültigen Strafantrag, ist das Verfahren einzustellen, weil ein Urteil definitiv nicht mehr ergehen kann (Urteile des Bundesgerichts 6B_42/2021 vom 8. Juli 2021 E. 4.2.1, 6B_729/2020 vom 3. Februar 2021 E. 2.4.1 und 6B_252/2020 vom</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