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385 vom 4. September 2023</w:t>
      </w:r>
    </w:p>
    <w:p>
      <w:r>
        <w:t>BE Obergericht, 2023-09-04, DE</w:t>
      </w:r>
    </w:p>
    <w:p>
      <w:r>
        <w:rPr>
          <w:b/>
        </w:rPr>
        <w:t xml:space="preserve">Quelle: </w:t>
      </w:r>
      <w:r>
        <w:t>https://mcp.opencaselaw.ch/entscheid/be_zivilstraf_BK_2023_385</w:t>
      </w:r>
    </w:p>
    <w:p>
      <w:r>
        <w:t>FR: BE_ZIVILSTRAF BK 2023 385 du 4 septembre 2023</w:t>
      </w:r>
    </w:p>
    <w:p>
      <w:r>
        <w:t>IT: BE_ZIVILSTRAF BK 2023 385 del 4 settembre 2023</w:t>
      </w:r>
    </w:p>
    <w:p>
      <w:pPr>
        <w:pStyle w:val="Heading2"/>
      </w:pPr>
      <w:r>
        <w:t>Regeste</w:t>
      </w:r>
    </w:p>
    <w:p>
      <w:r>
        <w:t>Beschlagnahme; Pornografie | Andere Verfügungen StA, Polizei (393-a)</w:t>
      </w:r>
    </w:p>
    <w:p>
      <w:pPr>
        <w:pStyle w:val="Heading2"/>
      </w:pPr>
      <w:r>
        <w:t>Erwägungen</w:t>
      </w:r>
    </w:p>
    <w:p>
      <w:r>
        <w:rPr>
          <w:b/>
        </w:rPr>
        <w:t>E. 1</w:t>
      </w:r>
    </w:p>
    <w:p>
      <w:r>
        <w:t>Mit Verfügung vom 4. September 2023 beschlagnahmte die Kantonale Staatsan- waltschaft für Besondere Aufgaben (nachfolgend: Staatsanwaltschaft) die anläss- lich der Hausdurchsuchung vom 30. August 2023 sichergestellten Datenträger. Dagegen reichte der Beschuldigte (nachfolgend: Beschwerdeführer), verteidigt durch Rechtsanwalt B.________, am 15. September 2023 Beschwerde ein. Darin beantragte er, die Verfügung sei betreffend die Gegenstände Nr. D1 bis D18 sowie B1, B2 und E1 aufzuheben. Weiter beantragte er die Erteilung der aufschiebenden Wirkung, unter Kosten- und Entschädigungsfolge. Mit Verfügung des Verfahrenslei- ters der Beschwerdekammer in Strafsachen des Obergerichts des Kantons Bern (nachfolgend: Beschwerdekammer) vom 18. September 2023 wurde das Gesuch um Erteilung der aufschiebenden Wirkung abgewiesen. Die Generalstaatsanwalt- schaft beantragte in ihrer Stellungnahme vom 16. Oktober 2023 die Abweisung der Beschwerde.</w:t>
      </w:r>
    </w:p>
    <w:p>
      <w:r>
        <w:rPr>
          <w:b/>
        </w:rPr>
        <w:t>E. 2</w:t>
      </w:r>
    </w:p>
    <w:p>
      <w:r>
        <w:t>Gegen Verfügungen der Staatsanwaltschaft kann bei der Beschwerdekammer in- nert zehn Tagen schriftlich und begründet Beschwerde geführt werden (Art. 393 Abs. 1 Bst. a i.V.m. Art. 396 Abs. 1 StPO, Art. 35 des Gesetzes über die Organisa- tion der Gerichtsbehörden und der Staatsanwaltschaft [GSOG; BSG 161.1] i.V.m. Art. 29 Abs. 2 des Organisationsreglements des Obergerichts [OrR OG; BSG 162.11]). Der Beschuldigte ist durch die Beschlagnahme unmittelbar in seinen rechtlich geschützten Interessen betroffen und somit zur Beschwerdeführung legi- timiert (Art. 382 Abs. 1 i. V.m. Art. 104 Abs. 1 Bst. a StPO). Auf die form- und frist- gerechte Beschwerde ist einzutreten.</w:t>
      </w:r>
    </w:p>
    <w:p>
      <w:r>
        <w:rPr>
          <w:b/>
        </w:rPr>
        <w:t>E. 3</w:t>
      </w:r>
    </w:p>
    <w:p>
      <w:r>
        <w:t>Die Beschwerde ist gutzuheissen und die Verfügung vom 4. September 2023 inso- fern aufzuheben, als die sichergestellten Gegenstände Nr. D1 bis D18 sowie B1, B2 und E1 beschlagnahmt wurden.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